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600" w:after="480"/>
      </w:pPr>
      <w:r>
        <w:rPr>
          <w:b w:val="0"/>
          <w:sz w:val="21"/>
          <w:lang w:val="en-US"/>
        </w:rPr>
        <w:t>POLICY AND FAMILY GUIDE</w:t>
      </w:r>
    </w:p>
    <w:p>
      <w:pPr>
        <w:pStyle w:val="Title"/>
      </w:pPr>
      <w:r>
        <w:rPr>
          <w:lang w:val="en-US"/>
        </w:rPr>
        <w:t>Blood Tests for</w:t>
        <w:br/>
        <w:t>Alzheimer Disease</w:t>
      </w:r>
    </w:p>
    <w:p>
      <w:pPr>
        <w:pStyle w:val="Subtitle"/>
        <w:spacing w:after="360"/>
      </w:pPr>
      <w:r>
        <w:rPr>
          <w:lang w:val="en-US"/>
        </w:rPr>
        <w:t>A clear guide to four FDA cleared tests</w:t>
      </w:r>
    </w:p>
    <w:p>
      <w:r>
        <w:rPr>
          <w:b w:val="0"/>
          <w:lang w:val="en-US"/>
        </w:rPr>
        <w:t>What the tests can tell us and what families and policymakers need to know</w:t>
      </w:r>
    </w:p>
    <w:p>
      <w:pPr>
        <w:spacing w:before="600"/>
      </w:pPr>
      <w:r>
        <w:rPr>
          <w:b/>
          <w:lang w:val="en-US"/>
        </w:rPr>
        <w:t>Written by Jerry Perone</w:t>
      </w:r>
    </w:p>
    <w:p>
      <w:r>
        <w:rPr>
          <w:b w:val="0"/>
          <w:lang w:val="en-US"/>
        </w:rPr>
        <w:t>JerryPerone.com</w:t>
      </w:r>
    </w:p>
    <w:p>
      <w:r>
        <w:rPr>
          <w:b/>
          <w:lang w:val="en-US"/>
        </w:rPr>
        <w:t>Version 3</w:t>
      </w:r>
    </w:p>
    <w:p>
      <w:r>
        <w:rPr>
          <w:b w:val="0"/>
          <w:lang w:val="en-US"/>
        </w:rPr>
        <w:t>September 29, 2026</w:t>
      </w:r>
    </w:p>
    <w:p>
      <w:pPr>
        <w:spacing w:before="480"/>
      </w:pPr>
      <w:r>
        <w:rPr>
          <w:b w:val="0"/>
          <w:lang w:val="en-US"/>
        </w:rPr>
        <w:t>This report explains who these tests are for, how to read the results, and where questions about access and payment remain. It includes updates from FDA records and other sources reviewed for this edition.</w:t>
      </w:r>
    </w:p>
    <w:p>
      <w:pPr>
        <w:spacing w:before="460"/>
      </w:pPr>
      <w:r>
        <w:rPr>
          <w:b/>
          <w:sz w:val="21"/>
          <w:lang w:val="en-US"/>
        </w:rPr>
        <w:t>© 2026 Jerry Perone. All Rights Reserved.</w:t>
      </w:r>
    </w:p>
    <w:p>
      <w:r>
        <w:rPr>
          <w:b w:val="0"/>
          <w:sz w:val="21"/>
          <w:lang w:val="en-US"/>
        </w:rPr>
        <w:t>Please get the author’s written permission before copying, sharing, or republishing this report. Brief quotes in reviews or testimony, and other uses allowed by copyright law, are permitted.</w:t>
      </w:r>
    </w:p>
    <w:p>
      <w:r>
        <w:rPr>
          <w:b w:val="0"/>
          <w:sz w:val="21"/>
          <w:lang w:val="en-US"/>
        </w:rPr>
        <w:t>This report is for education and policy discussion. It does not replace medical advice from your health care team.</w:t>
      </w:r>
    </w:p>
    <w:p>
      <w:pPr>
        <w:pStyle w:val="Heading1"/>
        <w:pageBreakBefore/>
      </w:pPr>
      <w:r>
        <w:rPr>
          <w:lang w:val="en-US"/>
        </w:rPr>
        <w:t>What families should know</w:t>
      </w:r>
    </w:p>
    <w:p>
      <w:r>
        <w:rPr>
          <w:b w:val="0"/>
          <w:lang w:val="en-US"/>
        </w:rPr>
        <w:t>A blood test can help explain why someone is having memory or thinking problems. It can make one part of the search for answers easier. But a result still needs a doctor’s careful review. These tests do not tell a family the whole story.</w:t>
      </w:r>
    </w:p>
    <w:p>
      <w:r>
        <w:rPr>
          <w:b w:val="0"/>
          <w:lang w:val="en-US"/>
        </w:rPr>
        <w:t>This report covers four blood tests cleared by the U.S. Food and Drug Administration, or FDA. All are for people who already have signs, symptoms, or concerns about a decline in thinking. None is cleared to screen people who have no symptoms. [1–4]</w:t>
      </w:r>
    </w:p>
    <w:p>
      <w:pPr>
        <w:pStyle w:val="Heading2"/>
      </w:pPr>
      <w:r>
        <w:rPr>
          <w:lang w:val="en-US"/>
        </w:rPr>
        <w:t>The main points</w:t>
      </w:r>
    </w:p>
    <w:p>
      <w:pPr>
        <w:pStyle w:val="ListBullet"/>
        <w:spacing w:after="100"/>
      </w:pPr>
      <w:r>
        <w:rPr>
          <w:lang w:val="en-US"/>
        </w:rPr>
        <w:t>The tests look for signs linked to amyloid, a protein that can build up in the brain. Amyloid is one part of Alzheimer’s disease.</w:t>
      </w:r>
    </w:p>
    <w:p>
      <w:pPr>
        <w:pStyle w:val="ListBullet"/>
        <w:spacing w:after="100"/>
      </w:pPr>
      <w:r>
        <w:rPr>
          <w:lang w:val="en-US"/>
        </w:rPr>
        <w:t>A positive result does not, by itself, explain all of a person’s symptoms. A negative result does not rule out every form of dementia.</w:t>
      </w:r>
    </w:p>
    <w:p>
      <w:pPr>
        <w:pStyle w:val="ListBullet"/>
        <w:spacing w:after="100"/>
      </w:pPr>
      <w:r>
        <w:rPr>
          <w:lang w:val="en-US"/>
        </w:rPr>
        <w:t>The tests serve different purposes. One mainly helps show when amyloid is unlikely. Others can help show either a high or a low chance of amyloid.</w:t>
      </w:r>
    </w:p>
    <w:p>
      <w:pPr>
        <w:pStyle w:val="ListBullet"/>
        <w:spacing w:after="100"/>
      </w:pPr>
      <w:r>
        <w:rPr>
          <w:lang w:val="en-US"/>
        </w:rPr>
        <w:t>FDA clearance, local access, and insurance payment are three separate questions. A family should check each one before testing.</w:t>
      </w:r>
    </w:p>
    <w:p>
      <w:pPr>
        <w:pStyle w:val="ListBullet"/>
        <w:spacing w:after="100"/>
      </w:pPr>
      <w:r>
        <w:rPr>
          <w:lang w:val="en-US"/>
        </w:rPr>
        <w:t>People need a plan for the next step. No one should be left with a lab result and no clear way to get help.</w:t>
      </w:r>
    </w:p>
    <w:p>
      <w:pPr>
        <w:pStyle w:val="Heading2"/>
      </w:pPr>
      <w:r>
        <w:rPr>
          <w:lang w:val="en-US"/>
        </w:rPr>
        <w:t>What the tests measure</w:t>
      </w:r>
    </w:p>
    <w:p>
      <w:r>
        <w:rPr>
          <w:b w:val="0"/>
          <w:lang w:val="en-US"/>
        </w:rPr>
        <w:t>A biomarker is a sign of what is happening in the body. These tests measure forms of tau, amyloid, or both in the liquid part of blood. Tau and amyloid are proteins. The test uses their levels or ratios to estimate whether amyloid changes are likely in the brain. [1–4]</w:t>
      </w:r>
    </w:p>
    <w:p>
      <w:r>
        <w:rPr>
          <w:b w:val="0"/>
          <w:lang w:val="en-US"/>
        </w:rPr>
        <w:t>An amyloid PET scan is a brain scan that can show amyloid deposits. A spinal fluid test looks for signs of disease in the fluid around the brain and spinal cord. Researchers compare blood tests with these methods to see how well they agree.</w:t>
      </w:r>
    </w:p>
    <w:p>
      <w:pPr>
        <w:pStyle w:val="Heading2"/>
      </w:pPr>
      <w:r>
        <w:rPr>
          <w:lang w:val="en-US"/>
        </w:rPr>
        <w:t>Why I wrote this report</w:t>
      </w:r>
    </w:p>
    <w:p>
      <w:r>
        <w:rPr>
          <w:b w:val="0"/>
          <w:lang w:val="en-US"/>
        </w:rPr>
        <w:t>Families deserve words they can understand when the subject is this personal. My goal is to explain the promise of these tests without asking readers to sort through pages of lab terms. I also want our policy choices to support the care people need after the blood draw.</w:t>
      </w:r>
    </w:p>
    <w:p>
      <w:pPr>
        <w:pStyle w:val="Heading1"/>
        <w:pageBreakBefore/>
      </w:pPr>
      <w:r>
        <w:rPr>
          <w:lang w:val="en-US"/>
        </w:rPr>
        <w:t>The four tests at a glance</w:t>
      </w:r>
    </w:p>
    <w:p>
      <w:r>
        <w:rPr>
          <w:b w:val="0"/>
          <w:lang w:val="en-US"/>
        </w:rPr>
        <w:t>The table shows the cleared age range and the main role of each test. A clinician must also follow the test’s full instructions. Short names are used here to make the comparison easier. [1–4]</w:t>
      </w:r>
    </w:p>
    <w:tbl>
      <w:tblPr>
        <w:tblW w:type="auto" w:w="0"/>
        <w:jc w:val="center"/>
        <w:tblLayout w:type="fixed"/>
        <w:tblLook w:firstColumn="1" w:firstRow="1" w:lastColumn="0" w:lastRow="0" w:noHBand="0" w:noVBand="1" w:val="04A0"/>
      </w:tblPr>
      <w:tblGrid>
        <w:gridCol w:w="3024"/>
        <w:gridCol w:w="792"/>
        <w:gridCol w:w="6120"/>
      </w:tblGrid>
      <w:tr>
        <w:trPr>
          <w:cantSplit/>
          <w:tblHeader/>
        </w:trPr>
        <w:tc>
          <w:tcPr>
            <w:tcW w:type="dxa" w:w="3024"/>
            <w:vAlign w:val="center"/>
            <w:shd w:fill="24465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color w:val="FFFFFF"/>
                <w:sz w:val="22"/>
              </w:rPr>
              <w:t>Test and maker</w:t>
            </w:r>
          </w:p>
        </w:tc>
        <w:tc>
          <w:tcPr>
            <w:tcW w:type="dxa" w:w="792"/>
            <w:vAlign w:val="center"/>
            <w:shd w:fill="24465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jc w:val="center"/>
            </w:pPr>
            <w:r>
              <w:rPr>
                <w:b/>
                <w:color w:val="FFFFFF"/>
                <w:sz w:val="22"/>
              </w:rPr>
              <w:t>Age</w:t>
            </w:r>
          </w:p>
        </w:tc>
        <w:tc>
          <w:tcPr>
            <w:tcW w:type="dxa" w:w="6120"/>
            <w:vAlign w:val="center"/>
            <w:shd w:fill="24465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color w:val="FFFFFF"/>
                <w:sz w:val="22"/>
              </w:rPr>
              <w:t>Main role</w:t>
            </w:r>
          </w:p>
        </w:tc>
      </w:tr>
      <w:tr>
        <w:trPr>
          <w:cantSplit/>
        </w:trPr>
        <w:tc>
          <w:tcPr>
            <w:tcW w:type="dxa" w:w="3024"/>
            <w:vAlign w:val="center"/>
            <w:shd w:fill="F1F5F7"/>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val="0"/>
                <w:color w:val="000000"/>
                <w:sz w:val="22"/>
              </w:rPr>
              <w:t>Lumipulse ratio</w:t>
              <w:br/>
              <w:t>Fujirebio</w:t>
            </w:r>
          </w:p>
        </w:tc>
        <w:tc>
          <w:tcPr>
            <w:tcW w:type="dxa" w:w="792"/>
            <w:vAlign w:val="center"/>
            <w:shd w:fill="F1F5F7"/>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jc w:val="center"/>
            </w:pPr>
            <w:r>
              <w:rPr>
                <w:b w:val="0"/>
                <w:color w:val="000000"/>
                <w:sz w:val="22"/>
              </w:rPr>
              <w:t>50+</w:t>
            </w:r>
          </w:p>
        </w:tc>
        <w:tc>
          <w:tcPr>
            <w:tcW w:type="dxa" w:w="6120"/>
            <w:vAlign w:val="center"/>
            <w:shd w:fill="F1F5F7"/>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val="0"/>
                <w:color w:val="000000"/>
                <w:sz w:val="22"/>
              </w:rPr>
              <w:t>Helps assess whether amyloid is likely or unlikely in people seen in specialty care.</w:t>
            </w:r>
          </w:p>
        </w:tc>
      </w:tr>
      <w:tr>
        <w:trPr>
          <w:cantSplit/>
        </w:trPr>
        <w:tc>
          <w:tcPr>
            <w:tcW w:type="dxa" w:w="3024"/>
            <w:vAlign w:val="center"/>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val="0"/>
                <w:color w:val="000000"/>
                <w:sz w:val="22"/>
              </w:rPr>
              <w:t>Elecsys pTau181</w:t>
              <w:br/>
              <w:t>Roche with Lilly</w:t>
            </w:r>
          </w:p>
        </w:tc>
        <w:tc>
          <w:tcPr>
            <w:tcW w:type="dxa" w:w="792"/>
            <w:vAlign w:val="center"/>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jc w:val="center"/>
            </w:pPr>
            <w:r>
              <w:rPr>
                <w:b w:val="0"/>
                <w:color w:val="000000"/>
                <w:sz w:val="22"/>
              </w:rPr>
              <w:t>55+</w:t>
            </w:r>
          </w:p>
        </w:tc>
        <w:tc>
          <w:tcPr>
            <w:tcW w:type="dxa" w:w="6120"/>
            <w:vAlign w:val="center"/>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val="0"/>
                <w:color w:val="000000"/>
                <w:sz w:val="22"/>
              </w:rPr>
              <w:t>Helps with the first review in primary care. A negative result makes amyloid less likely.</w:t>
            </w:r>
          </w:p>
        </w:tc>
      </w:tr>
      <w:tr>
        <w:trPr>
          <w:cantSplit/>
        </w:trPr>
        <w:tc>
          <w:tcPr>
            <w:tcW w:type="dxa" w:w="3024"/>
            <w:vAlign w:val="center"/>
            <w:shd w:fill="F1F5F7"/>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val="0"/>
                <w:color w:val="000000"/>
                <w:sz w:val="22"/>
              </w:rPr>
              <w:t>PrecivityAD2</w:t>
              <w:br/>
              <w:t>C2N Diagnostics</w:t>
            </w:r>
          </w:p>
        </w:tc>
        <w:tc>
          <w:tcPr>
            <w:tcW w:type="dxa" w:w="792"/>
            <w:vAlign w:val="center"/>
            <w:shd w:fill="F1F5F7"/>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jc w:val="center"/>
            </w:pPr>
            <w:r>
              <w:rPr>
                <w:b w:val="0"/>
                <w:color w:val="000000"/>
                <w:sz w:val="22"/>
              </w:rPr>
              <w:t>40+</w:t>
            </w:r>
          </w:p>
        </w:tc>
        <w:tc>
          <w:tcPr>
            <w:tcW w:type="dxa" w:w="6120"/>
            <w:vAlign w:val="center"/>
            <w:shd w:fill="F1F5F7"/>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val="0"/>
                <w:color w:val="000000"/>
                <w:sz w:val="22"/>
              </w:rPr>
              <w:t>Helps clinicians who have experience with memory and thinking problems assess amyloid.</w:t>
            </w:r>
          </w:p>
        </w:tc>
      </w:tr>
      <w:tr>
        <w:trPr>
          <w:cantSplit/>
        </w:trPr>
        <w:tc>
          <w:tcPr>
            <w:tcW w:type="dxa" w:w="3024"/>
            <w:vAlign w:val="center"/>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val="0"/>
                <w:color w:val="000000"/>
                <w:sz w:val="22"/>
              </w:rPr>
              <w:t>Elecsys pTau217</w:t>
              <w:br/>
              <w:t>Roche with Lilly</w:t>
            </w:r>
          </w:p>
        </w:tc>
        <w:tc>
          <w:tcPr>
            <w:tcW w:type="dxa" w:w="792"/>
            <w:vAlign w:val="center"/>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jc w:val="center"/>
            </w:pPr>
            <w:r>
              <w:rPr>
                <w:b w:val="0"/>
                <w:color w:val="000000"/>
                <w:sz w:val="22"/>
              </w:rPr>
              <w:t>55+</w:t>
            </w:r>
          </w:p>
        </w:tc>
        <w:tc>
          <w:tcPr>
            <w:tcW w:type="dxa" w:w="6120"/>
            <w:vAlign w:val="center"/>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val="0"/>
                <w:color w:val="000000"/>
                <w:sz w:val="22"/>
              </w:rPr>
              <w:t>Helps assess whether amyloid is likely or unlikely in primary and specialty care.</w:t>
            </w:r>
          </w:p>
        </w:tc>
      </w:tr>
    </w:tbl>
    <w:p>
      <w:pPr>
        <w:spacing w:after="0" w:line="100" w:lineRule="exact"/>
      </w:pPr>
      <w:r>
        <w:rPr>
          <w:sz w:val="2"/>
          <w:lang w:val="en-US"/>
        </w:rPr>
      </w:r>
    </w:p>
    <w:p>
      <w:pPr>
        <w:pStyle w:val="Heading2"/>
      </w:pPr>
      <w:r>
        <w:rPr>
          <w:lang w:val="en-US"/>
        </w:rPr>
        <w:t>The FDA dates</w:t>
      </w:r>
    </w:p>
    <w:tbl>
      <w:tblPr>
        <w:tblW w:type="auto" w:w="0"/>
        <w:jc w:val="center"/>
        <w:tblLayout w:type="fixed"/>
        <w:tblLook w:firstColumn="1" w:firstRow="1" w:lastColumn="0" w:lastRow="0" w:noHBand="0" w:noVBand="1" w:val="04A0"/>
      </w:tblPr>
      <w:tblGrid>
        <w:gridCol w:w="3600"/>
        <w:gridCol w:w="3528"/>
        <w:gridCol w:w="2808"/>
      </w:tblGrid>
      <w:tr>
        <w:trPr>
          <w:cantSplit/>
          <w:tblHeader/>
        </w:trPr>
        <w:tc>
          <w:tcPr>
            <w:tcW w:type="dxa" w:w="3600"/>
            <w:vAlign w:val="center"/>
            <w:shd w:fill="24465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color w:val="FFFFFF"/>
                <w:sz w:val="22"/>
              </w:rPr>
              <w:t>Test</w:t>
            </w:r>
          </w:p>
        </w:tc>
        <w:tc>
          <w:tcPr>
            <w:tcW w:type="dxa" w:w="3528"/>
            <w:vAlign w:val="center"/>
            <w:shd w:fill="24465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color w:val="FFFFFF"/>
                <w:sz w:val="22"/>
              </w:rPr>
              <w:t>FDA decision date</w:t>
            </w:r>
          </w:p>
        </w:tc>
        <w:tc>
          <w:tcPr>
            <w:tcW w:type="dxa" w:w="2808"/>
            <w:vAlign w:val="center"/>
            <w:shd w:fill="24465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color w:val="FFFFFF"/>
                <w:sz w:val="22"/>
              </w:rPr>
              <w:t>FDA record</w:t>
            </w:r>
          </w:p>
        </w:tc>
      </w:tr>
      <w:tr>
        <w:trPr>
          <w:cantSplit/>
        </w:trPr>
        <w:tc>
          <w:tcPr>
            <w:tcW w:type="dxa" w:w="3600"/>
            <w:vAlign w:val="center"/>
            <w:shd w:fill="F1F5F7"/>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val="0"/>
                <w:color w:val="000000"/>
                <w:sz w:val="22"/>
              </w:rPr>
              <w:t>Lumipulse ratio</w:t>
            </w:r>
          </w:p>
        </w:tc>
        <w:tc>
          <w:tcPr>
            <w:tcW w:type="dxa" w:w="3528"/>
            <w:vAlign w:val="center"/>
            <w:shd w:fill="F1F5F7"/>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val="0"/>
                <w:color w:val="000000"/>
                <w:sz w:val="22"/>
              </w:rPr>
              <w:t>May 16, 2025</w:t>
            </w:r>
          </w:p>
        </w:tc>
        <w:tc>
          <w:tcPr>
            <w:tcW w:type="dxa" w:w="2808"/>
            <w:vAlign w:val="center"/>
            <w:shd w:fill="F1F5F7"/>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val="0"/>
                <w:color w:val="000000"/>
                <w:sz w:val="22"/>
              </w:rPr>
              <w:t>K242706</w:t>
            </w:r>
          </w:p>
        </w:tc>
      </w:tr>
      <w:tr>
        <w:trPr>
          <w:cantSplit/>
        </w:trPr>
        <w:tc>
          <w:tcPr>
            <w:tcW w:type="dxa" w:w="3600"/>
            <w:vAlign w:val="center"/>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val="0"/>
                <w:color w:val="000000"/>
                <w:sz w:val="22"/>
              </w:rPr>
              <w:t>Elecsys pTau181</w:t>
            </w:r>
          </w:p>
        </w:tc>
        <w:tc>
          <w:tcPr>
            <w:tcW w:type="dxa" w:w="3528"/>
            <w:vAlign w:val="center"/>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val="0"/>
                <w:color w:val="000000"/>
                <w:sz w:val="22"/>
              </w:rPr>
              <w:t>October 8, 2025</w:t>
            </w:r>
          </w:p>
        </w:tc>
        <w:tc>
          <w:tcPr>
            <w:tcW w:type="dxa" w:w="2808"/>
            <w:vAlign w:val="center"/>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val="0"/>
                <w:color w:val="000000"/>
                <w:sz w:val="22"/>
              </w:rPr>
              <w:t>K252163</w:t>
            </w:r>
          </w:p>
        </w:tc>
      </w:tr>
      <w:tr>
        <w:trPr>
          <w:cantSplit/>
        </w:trPr>
        <w:tc>
          <w:tcPr>
            <w:tcW w:type="dxa" w:w="3600"/>
            <w:vAlign w:val="center"/>
            <w:shd w:fill="F1F5F7"/>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val="0"/>
                <w:color w:val="000000"/>
                <w:sz w:val="22"/>
              </w:rPr>
              <w:t>PrecivityAD2</w:t>
            </w:r>
          </w:p>
        </w:tc>
        <w:tc>
          <w:tcPr>
            <w:tcW w:type="dxa" w:w="3528"/>
            <w:vAlign w:val="center"/>
            <w:shd w:fill="F1F5F7"/>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val="0"/>
                <w:color w:val="000000"/>
                <w:sz w:val="22"/>
              </w:rPr>
              <w:t>August 19, 2026</w:t>
            </w:r>
          </w:p>
        </w:tc>
        <w:tc>
          <w:tcPr>
            <w:tcW w:type="dxa" w:w="2808"/>
            <w:vAlign w:val="center"/>
            <w:shd w:fill="F1F5F7"/>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val="0"/>
                <w:color w:val="000000"/>
                <w:sz w:val="22"/>
              </w:rPr>
              <w:t>K253240</w:t>
            </w:r>
          </w:p>
        </w:tc>
      </w:tr>
      <w:tr>
        <w:trPr>
          <w:cantSplit/>
        </w:trPr>
        <w:tc>
          <w:tcPr>
            <w:tcW w:type="dxa" w:w="3600"/>
            <w:vAlign w:val="center"/>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val="0"/>
                <w:color w:val="000000"/>
                <w:sz w:val="22"/>
              </w:rPr>
              <w:t>Elecsys pTau217</w:t>
            </w:r>
          </w:p>
        </w:tc>
        <w:tc>
          <w:tcPr>
            <w:tcW w:type="dxa" w:w="3528"/>
            <w:vAlign w:val="center"/>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val="0"/>
                <w:color w:val="000000"/>
                <w:sz w:val="22"/>
              </w:rPr>
              <w:t>August 19, 2026</w:t>
            </w:r>
          </w:p>
        </w:tc>
        <w:tc>
          <w:tcPr>
            <w:tcW w:type="dxa" w:w="2808"/>
            <w:vAlign w:val="center"/>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val="0"/>
                <w:color w:val="000000"/>
                <w:sz w:val="22"/>
              </w:rPr>
              <w:t>K261686</w:t>
            </w:r>
          </w:p>
        </w:tc>
      </w:tr>
    </w:tbl>
    <w:p>
      <w:pPr>
        <w:spacing w:after="0" w:line="100" w:lineRule="exact"/>
      </w:pPr>
      <w:r>
        <w:rPr>
          <w:sz w:val="2"/>
          <w:lang w:val="en-US"/>
        </w:rPr>
      </w:r>
    </w:p>
    <w:p>
      <w:r>
        <w:rPr>
          <w:b w:val="0"/>
          <w:lang w:val="en-US"/>
        </w:rPr>
        <w:t>Both newer tests received FDA clearance on the same day. C2N announced its clearance on August 20, 2026. Roche made its announcement on August 24. Those news dates are not the FDA decision dates. [3,4,7,8]</w:t>
      </w:r>
    </w:p>
    <w:p>
      <w:pPr>
        <w:pStyle w:val="Heading2"/>
      </w:pPr>
      <w:r>
        <w:rPr>
          <w:lang w:val="en-US"/>
        </w:rPr>
        <w:t>What FDA cleared means</w:t>
      </w:r>
    </w:p>
    <w:p>
      <w:r>
        <w:rPr>
          <w:b w:val="0"/>
          <w:lang w:val="en-US"/>
        </w:rPr>
        <w:t>All four went through the FDA’s 510(k) review process. In that process, the FDA compares a test with a device already allowed on the market. The correct term for these tests is “FDA-cleared.” Clearance applies to the stated use and limits. It does not mean that every blood test for Alzheimer’s has been reviewed, or that every insurer will pay. [1–4]</w:t>
      </w:r>
    </w:p>
    <w:p>
      <w:pPr>
        <w:pStyle w:val="Heading1"/>
        <w:pageBreakBefore/>
      </w:pPr>
      <w:r>
        <w:rPr>
          <w:lang w:val="en-US"/>
        </w:rPr>
        <w:t>FDA pathways for tests</w:t>
      </w:r>
    </w:p>
    <w:p>
      <w:r>
        <w:rPr>
          <w:b w:val="0"/>
          <w:lang w:val="en-US"/>
        </w:rPr>
        <w:t>All four tests in this report are FDA-cleared Class II devices. They received clearance through the 510(k) pathway. They did not receive emergency use authorization or approval through the PMA pathway. [1–4]</w:t>
      </w:r>
    </w:p>
    <w:p>
      <w:r>
        <w:rPr>
          <w:b w:val="0"/>
          <w:lang w:val="en-US"/>
        </w:rPr>
        <w:t>People sometimes call these “FDA levels of release.” The FDA uses different paths based on the product, its use, and its risks. These paths are not steps that every test moves through, and they are not a ranking of test quality. [16,17]</w:t>
      </w:r>
    </w:p>
    <w:tbl>
      <w:tblPr>
        <w:tblW w:type="auto" w:w="0"/>
        <w:jc w:val="center"/>
        <w:tblLayout w:type="fixed"/>
        <w:tblLook w:firstColumn="1" w:firstRow="1" w:lastColumn="0" w:lastRow="0" w:noHBand="0" w:noVBand="1" w:val="04A0"/>
      </w:tblPr>
      <w:tblGrid>
        <w:gridCol w:w="2304"/>
        <w:gridCol w:w="7632"/>
      </w:tblGrid>
      <w:tr>
        <w:trPr>
          <w:cantSplit/>
          <w:tblHeader/>
        </w:trPr>
        <w:tc>
          <w:tcPr>
            <w:tcW w:type="dxa" w:w="2304"/>
            <w:vAlign w:val="center"/>
            <w:shd w:fill="24465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color w:val="FFFFFF"/>
                <w:sz w:val="22"/>
              </w:rPr>
              <w:t>FDA term</w:t>
            </w:r>
          </w:p>
        </w:tc>
        <w:tc>
          <w:tcPr>
            <w:tcW w:type="dxa" w:w="7632"/>
            <w:vAlign w:val="center"/>
            <w:shd w:fill="24465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color w:val="FFFFFF"/>
                <w:sz w:val="22"/>
              </w:rPr>
              <w:t>What it means</w:t>
            </w:r>
          </w:p>
        </w:tc>
      </w:tr>
      <w:tr>
        <w:trPr>
          <w:cantSplit/>
        </w:trPr>
        <w:tc>
          <w:tcPr>
            <w:tcW w:type="dxa" w:w="2304"/>
            <w:vAlign w:val="center"/>
            <w:shd w:fill="F1F5F7"/>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val="0"/>
                <w:color w:val="000000"/>
                <w:sz w:val="22"/>
              </w:rPr>
              <w:t>510(k) clearance</w:t>
            </w:r>
          </w:p>
        </w:tc>
        <w:tc>
          <w:tcPr>
            <w:tcW w:type="dxa" w:w="7632"/>
            <w:vAlign w:val="center"/>
            <w:shd w:fill="F1F5F7"/>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val="0"/>
                <w:color w:val="000000"/>
                <w:sz w:val="22"/>
              </w:rPr>
              <w:t>The FDA reviews evidence that a device is as safe and effective as a similar device already legally sold. That comparison device is called a predicate. The FDA term is “substantially equivalent.” A cleared device can be marketed for its stated use. This is the path used by all four tests here. [1–4,16]</w:t>
            </w:r>
          </w:p>
        </w:tc>
      </w:tr>
      <w:tr>
        <w:trPr>
          <w:cantSplit/>
        </w:trPr>
        <w:tc>
          <w:tcPr>
            <w:tcW w:type="dxa" w:w="2304"/>
            <w:vAlign w:val="center"/>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val="0"/>
                <w:color w:val="000000"/>
                <w:sz w:val="22"/>
              </w:rPr>
              <w:t>De Novo authorization</w:t>
            </w:r>
          </w:p>
        </w:tc>
        <w:tc>
          <w:tcPr>
            <w:tcW w:type="dxa" w:w="7632"/>
            <w:vAlign w:val="center"/>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val="0"/>
                <w:color w:val="000000"/>
                <w:sz w:val="22"/>
              </w:rPr>
              <w:t>This path is for a new type of low- or moderate-risk device without a suitable predicate. The FDA reviews evidence and sets safety rules. It must find enough support that the device is safe and works for its stated use. If granted, the device enters Class I or II and can be marketed. [16]</w:t>
            </w:r>
          </w:p>
        </w:tc>
      </w:tr>
      <w:tr>
        <w:trPr>
          <w:cantSplit/>
        </w:trPr>
        <w:tc>
          <w:tcPr>
            <w:tcW w:type="dxa" w:w="2304"/>
            <w:vAlign w:val="center"/>
            <w:shd w:fill="F1F5F7"/>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val="0"/>
                <w:color w:val="000000"/>
                <w:sz w:val="22"/>
              </w:rPr>
              <w:t>Premarket approval</w:t>
              <w:br/>
              <w:t>PMA</w:t>
            </w:r>
          </w:p>
        </w:tc>
        <w:tc>
          <w:tcPr>
            <w:tcW w:type="dxa" w:w="7632"/>
            <w:vAlign w:val="center"/>
            <w:shd w:fill="F1F5F7"/>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val="0"/>
                <w:color w:val="000000"/>
                <w:sz w:val="22"/>
              </w:rPr>
              <w:t>This is generally the path for high-risk Class III devices. The FDA reviews scientific evidence to decide whether the device is safe and effective for its stated use. It is the FDA’s most demanding device marketing review. Approval does not mean a product has no risks. [16]</w:t>
            </w:r>
          </w:p>
        </w:tc>
      </w:tr>
      <w:tr>
        <w:trPr>
          <w:cantSplit/>
        </w:trPr>
        <w:tc>
          <w:tcPr>
            <w:tcW w:type="dxa" w:w="2304"/>
            <w:vAlign w:val="center"/>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val="0"/>
                <w:color w:val="000000"/>
                <w:sz w:val="22"/>
              </w:rPr>
              <w:t>Emergency use authorization</w:t>
              <w:br/>
              <w:t>EUA</w:t>
            </w:r>
          </w:p>
        </w:tc>
        <w:tc>
          <w:tcPr>
            <w:tcW w:type="dxa" w:w="7632"/>
            <w:vAlign w:val="center"/>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val="0"/>
                <w:color w:val="000000"/>
                <w:sz w:val="22"/>
              </w:rPr>
              <w:t>This allows specified uses during certain declared emergencies when no adequate, approved, available option exists. Evidence must support that the product may work. Its known and possible benefits must outweigh its known and possible risks. An EUA is not regular approval. It can end or be revoked. [17]</w:t>
            </w:r>
          </w:p>
        </w:tc>
      </w:tr>
    </w:tbl>
    <w:p>
      <w:pPr>
        <w:spacing w:after="0" w:line="100" w:lineRule="exact"/>
      </w:pPr>
      <w:r>
        <w:rPr>
          <w:sz w:val="2"/>
          <w:lang w:val="en-US"/>
        </w:rPr>
      </w:r>
    </w:p>
    <w:p>
      <w:pPr>
        <w:pStyle w:val="Heading2"/>
      </w:pPr>
      <w:r>
        <w:rPr>
          <w:lang w:val="en-US"/>
        </w:rPr>
        <w:t>A separate path for rare conditions</w:t>
      </w:r>
    </w:p>
    <w:p>
      <w:r>
        <w:rPr>
          <w:b w:val="0"/>
          <w:lang w:val="en-US"/>
        </w:rPr>
        <w:t>A Humanitarian Device Exemption, or HDE, is for devices aimed at conditions affecting no more than 8,000 people in the United States each year. It weighs probable benefit against risk and does not require the same proof of effectiveness as a PMA. It has special limits on use. None of the four tests here uses this path. [1–4,18]</w:t>
      </w:r>
    </w:p>
    <w:p>
      <w:r>
        <w:rPr>
          <w:b/>
          <w:lang w:val="en-US"/>
        </w:rPr>
        <w:t>For families, the key question is: “Has the FDA reviewed this exact test for someone with my age, symptoms, and care setting?” Clearance does not guarantee local access, insurance payment, or a correct result every time.</w:t>
      </w:r>
    </w:p>
    <w:p>
      <w:pPr>
        <w:pStyle w:val="Heading1"/>
        <w:pageBreakBefore/>
      </w:pPr>
      <w:r>
        <w:rPr>
          <w:lang w:val="en-US"/>
        </w:rPr>
        <w:t>Risk classes and other FDA terms</w:t>
      </w:r>
    </w:p>
    <w:p>
      <w:r>
        <w:rPr>
          <w:b w:val="0"/>
          <w:lang w:val="en-US"/>
        </w:rPr>
        <w:t>Device classes describe risk and the rules needed to manage it. They are not stages of Alzheimer’s disease or scores for test accuracy. A blood test can cause harm through a wrong result, even when the blood draw itself is simple. [19]</w:t>
      </w:r>
    </w:p>
    <w:tbl>
      <w:tblPr>
        <w:tblW w:type="auto" w:w="0"/>
        <w:jc w:val="center"/>
        <w:tblLayout w:type="fixed"/>
        <w:tblLook w:firstColumn="1" w:firstRow="1" w:lastColumn="0" w:lastRow="0" w:noHBand="0" w:noVBand="1" w:val="04A0"/>
      </w:tblPr>
      <w:tblGrid>
        <w:gridCol w:w="1728"/>
        <w:gridCol w:w="8208"/>
      </w:tblGrid>
      <w:tr>
        <w:trPr>
          <w:cantSplit/>
          <w:tblHeader/>
        </w:trPr>
        <w:tc>
          <w:tcPr>
            <w:tcW w:type="dxa" w:w="1728"/>
            <w:vAlign w:val="center"/>
            <w:shd w:fill="24465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color w:val="FFFFFF"/>
                <w:sz w:val="22"/>
              </w:rPr>
              <w:t>Risk class</w:t>
            </w:r>
          </w:p>
        </w:tc>
        <w:tc>
          <w:tcPr>
            <w:tcW w:type="dxa" w:w="8208"/>
            <w:vAlign w:val="center"/>
            <w:shd w:fill="24465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color w:val="FFFFFF"/>
                <w:sz w:val="22"/>
              </w:rPr>
              <w:t>Plain meaning</w:t>
            </w:r>
          </w:p>
        </w:tc>
      </w:tr>
      <w:tr>
        <w:trPr>
          <w:cantSplit/>
        </w:trPr>
        <w:tc>
          <w:tcPr>
            <w:tcW w:type="dxa" w:w="1728"/>
            <w:vAlign w:val="center"/>
            <w:shd w:fill="F1F5F7"/>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val="0"/>
                <w:color w:val="000000"/>
                <w:sz w:val="22"/>
              </w:rPr>
              <w:t>Class I</w:t>
            </w:r>
          </w:p>
        </w:tc>
        <w:tc>
          <w:tcPr>
            <w:tcW w:type="dxa" w:w="8208"/>
            <w:vAlign w:val="center"/>
            <w:shd w:fill="F1F5F7"/>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val="0"/>
                <w:color w:val="000000"/>
                <w:sz w:val="22"/>
              </w:rPr>
              <w:t>Lowest risk. Basic safety and quality rules apply. Many devices do not need a review before sale.</w:t>
            </w:r>
          </w:p>
        </w:tc>
      </w:tr>
      <w:tr>
        <w:trPr>
          <w:cantSplit/>
        </w:trPr>
        <w:tc>
          <w:tcPr>
            <w:tcW w:type="dxa" w:w="1728"/>
            <w:vAlign w:val="center"/>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val="0"/>
                <w:color w:val="000000"/>
                <w:sz w:val="22"/>
              </w:rPr>
              <w:t>Class II</w:t>
            </w:r>
          </w:p>
        </w:tc>
        <w:tc>
          <w:tcPr>
            <w:tcW w:type="dxa" w:w="8208"/>
            <w:vAlign w:val="center"/>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val="0"/>
                <w:color w:val="000000"/>
                <w:sz w:val="22"/>
              </w:rPr>
              <w:t>Moderate risk. Extra rules apply, such as performance standards and specific instructions. Many need 510(k) clearance. All four tests in this report are Class II. [1–4]</w:t>
            </w:r>
          </w:p>
        </w:tc>
      </w:tr>
      <w:tr>
        <w:trPr>
          <w:cantSplit/>
        </w:trPr>
        <w:tc>
          <w:tcPr>
            <w:tcW w:type="dxa" w:w="1728"/>
            <w:vAlign w:val="center"/>
            <w:shd w:fill="F1F5F7"/>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val="0"/>
                <w:color w:val="000000"/>
                <w:sz w:val="22"/>
              </w:rPr>
              <w:t>Class III</w:t>
            </w:r>
          </w:p>
        </w:tc>
        <w:tc>
          <w:tcPr>
            <w:tcW w:type="dxa" w:w="8208"/>
            <w:vAlign w:val="center"/>
            <w:shd w:fill="F1F5F7"/>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val="0"/>
                <w:color w:val="000000"/>
                <w:sz w:val="22"/>
              </w:rPr>
              <w:t>Highest risk. These devices generally need PMA approval.</w:t>
            </w:r>
          </w:p>
        </w:tc>
      </w:tr>
    </w:tbl>
    <w:p>
      <w:pPr>
        <w:spacing w:after="0" w:line="100" w:lineRule="exact"/>
      </w:pPr>
      <w:r>
        <w:rPr>
          <w:sz w:val="2"/>
          <w:lang w:val="en-US"/>
        </w:rPr>
      </w:r>
    </w:p>
    <w:p>
      <w:pPr>
        <w:pStyle w:val="Heading2"/>
      </w:pPr>
      <w:r>
        <w:rPr>
          <w:lang w:val="en-US"/>
        </w:rPr>
        <w:t>Terms that do not mean a test is cleared</w:t>
      </w:r>
    </w:p>
    <w:p>
      <w:pPr>
        <w:pStyle w:val="ListBullet"/>
        <w:spacing w:after="100"/>
      </w:pPr>
      <w:r>
        <w:rPr>
          <w:lang w:val="en-US"/>
        </w:rPr>
        <w:t>Breakthrough Device designation can speed development and FDA review for certain serious conditions. It does not, by itself, allow a device to be marketed. The device still must meet the standards of its review path. [20]</w:t>
      </w:r>
    </w:p>
    <w:p>
      <w:pPr>
        <w:pStyle w:val="ListBullet"/>
        <w:spacing w:after="100"/>
      </w:pPr>
      <w:r>
        <w:rPr>
          <w:lang w:val="en-US"/>
        </w:rPr>
        <w:t>Research Use Only means a product is meant for research, not for use in diagnosing patients. Investigational Use Only means it is still being tested. Permission for a clinical study is not permission for general sale. [21]</w:t>
      </w:r>
    </w:p>
    <w:p>
      <w:pPr>
        <w:pStyle w:val="ListBullet"/>
        <w:spacing w:after="100"/>
      </w:pPr>
      <w:r>
        <w:rPr>
          <w:lang w:val="en-US"/>
        </w:rPr>
        <w:t>FDA registration or listing records a business or its devices. It does not mean the FDA has cleared, approved, or authorized the test. [22]</w:t>
      </w:r>
    </w:p>
    <w:p>
      <w:pPr>
        <w:pStyle w:val="ListBullet"/>
        <w:spacing w:after="100"/>
      </w:pPr>
      <w:r>
        <w:rPr>
          <w:lang w:val="en-US"/>
        </w:rPr>
        <w:t>CLIA certification concerns the lab and its testing standards. It is not FDA clearance of every test the lab offers. A laboratory-developed test, or LDT, should not be called FDA-cleared unless that exact test version has clearance. [15,22]</w:t>
      </w:r>
    </w:p>
    <w:p>
      <w:pPr>
        <w:pStyle w:val="Heading2"/>
      </w:pPr>
      <w:r>
        <w:rPr>
          <w:lang w:val="en-US"/>
        </w:rPr>
        <w:t>Drug approval is a different process</w:t>
      </w:r>
    </w:p>
    <w:p>
      <w:r>
        <w:rPr>
          <w:b w:val="0"/>
          <w:lang w:val="en-US"/>
        </w:rPr>
        <w:t>Alzheimer’s medicines are reviewed through drug pathways, not 510(k). Accelerated approval is a drug approval path for serious conditions with an unmet need. It may rely on a marker expected to predict patient benefit. Follow-up studies must check that benefit. Approval can be withdrawn if the benefit is not confirmed. This is not the path used for these blood tests. [23]</w:t>
      </w:r>
    </w:p>
    <w:p>
      <w:r>
        <w:rPr>
          <w:b w:val="0"/>
          <w:lang w:val="en-US"/>
        </w:rPr>
        <w:t>Before testing, ask the lab for the exact test name, version, and FDA record. Then ask the clinician how the result will guide care. A familiar brand name or a claim of “breakthrough” is not enough to answer those questions.</w:t>
      </w:r>
    </w:p>
    <w:p>
      <w:pPr>
        <w:pStyle w:val="Heading1"/>
        <w:pageBreakBefore/>
      </w:pPr>
      <w:r>
        <w:rPr>
          <w:lang w:val="en-US"/>
        </w:rPr>
        <w:t>Lumipulse ratio test</w:t>
      </w:r>
    </w:p>
    <w:p>
      <w:r>
        <w:rPr>
          <w:b w:val="0"/>
          <w:sz w:val="21"/>
          <w:lang w:val="en-US"/>
        </w:rPr>
        <w:t>Full name: Lumipulse G pTau217/β-Amyloid 1-42 Plasma Ratio. Made by Fujirebio Diagnostics. FDA record K242706. [1]</w:t>
      </w:r>
    </w:p>
    <w:p>
      <w:pPr>
        <w:pStyle w:val="Heading2"/>
      </w:pPr>
      <w:r>
        <w:rPr>
          <w:lang w:val="en-US"/>
        </w:rPr>
        <w:t>Who it is for</w:t>
      </w:r>
    </w:p>
    <w:p>
      <w:r>
        <w:rPr>
          <w:b w:val="0"/>
          <w:lang w:val="en-US"/>
        </w:rPr>
        <w:t>This test is for adults age 50 or older who have signs of memory or thinking decline and are seen in a specialty care setting. It compares two blood markers: pTau217 and a form of amyloid called Aβ42. A lab runs it on the LUMIPULSE G1200 system. [1]</w:t>
      </w:r>
    </w:p>
    <w:p>
      <w:r>
        <w:rPr>
          <w:b w:val="0"/>
          <w:lang w:val="en-US"/>
        </w:rPr>
        <w:t>The FDA decision summary gives the age as 50 and older. Some early news reports said 55. This edition follows the cleared labeling.</w:t>
      </w:r>
    </w:p>
    <w:p>
      <w:pPr>
        <w:pStyle w:val="Heading2"/>
      </w:pPr>
      <w:r>
        <w:rPr>
          <w:lang w:val="en-US"/>
        </w:rPr>
        <w:t>What the study found</w:t>
      </w:r>
    </w:p>
    <w:p>
      <w:r>
        <w:rPr>
          <w:b w:val="0"/>
          <w:lang w:val="en-US"/>
        </w:rPr>
        <w:t>The study included 499 people. About half had amyloid shown by a PET scan or spinal fluid test. The blood results fell into three groups. [1]</w:t>
      </w:r>
    </w:p>
    <w:tbl>
      <w:tblPr>
        <w:tblW w:type="auto" w:w="0"/>
        <w:jc w:val="center"/>
        <w:tblLayout w:type="fixed"/>
        <w:tblLook w:firstColumn="1" w:firstRow="1" w:lastColumn="0" w:lastRow="0" w:noHBand="0" w:noVBand="1" w:val="04A0"/>
      </w:tblPr>
      <w:tblGrid>
        <w:gridCol w:w="1728"/>
        <w:gridCol w:w="2376"/>
        <w:gridCol w:w="5832"/>
      </w:tblGrid>
      <w:tr>
        <w:trPr>
          <w:cantSplit/>
          <w:tblHeader/>
        </w:trPr>
        <w:tc>
          <w:tcPr>
            <w:tcW w:type="dxa" w:w="1728"/>
            <w:vAlign w:val="center"/>
            <w:shd w:fill="24465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color w:val="FFFFFF"/>
                <w:sz w:val="22"/>
              </w:rPr>
              <w:t>Blood result</w:t>
            </w:r>
          </w:p>
        </w:tc>
        <w:tc>
          <w:tcPr>
            <w:tcW w:type="dxa" w:w="2376"/>
            <w:vAlign w:val="center"/>
            <w:shd w:fill="24465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jc w:val="center"/>
            </w:pPr>
            <w:r>
              <w:rPr>
                <w:b/>
                <w:color w:val="FFFFFF"/>
                <w:sz w:val="22"/>
              </w:rPr>
              <w:t>People in this group</w:t>
            </w:r>
          </w:p>
        </w:tc>
        <w:tc>
          <w:tcPr>
            <w:tcW w:type="dxa" w:w="5832"/>
            <w:vAlign w:val="center"/>
            <w:shd w:fill="24465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color w:val="FFFFFF"/>
                <w:sz w:val="22"/>
              </w:rPr>
              <w:t>What the comparison test showed</w:t>
            </w:r>
          </w:p>
        </w:tc>
      </w:tr>
      <w:tr>
        <w:trPr>
          <w:cantSplit/>
        </w:trPr>
        <w:tc>
          <w:tcPr>
            <w:tcW w:type="dxa" w:w="1728"/>
            <w:vAlign w:val="center"/>
            <w:shd w:fill="F1F5F7"/>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val="0"/>
                <w:color w:val="000000"/>
                <w:sz w:val="22"/>
              </w:rPr>
              <w:t>Positive</w:t>
            </w:r>
          </w:p>
        </w:tc>
        <w:tc>
          <w:tcPr>
            <w:tcW w:type="dxa" w:w="2376"/>
            <w:vAlign w:val="center"/>
            <w:shd w:fill="F1F5F7"/>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jc w:val="center"/>
            </w:pPr>
            <w:r>
              <w:rPr>
                <w:b w:val="0"/>
                <w:color w:val="000000"/>
                <w:sz w:val="22"/>
              </w:rPr>
              <w:t>219</w:t>
            </w:r>
          </w:p>
        </w:tc>
        <w:tc>
          <w:tcPr>
            <w:tcW w:type="dxa" w:w="5832"/>
            <w:vAlign w:val="center"/>
            <w:shd w:fill="F1F5F7"/>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val="0"/>
                <w:color w:val="000000"/>
                <w:sz w:val="22"/>
              </w:rPr>
              <w:t>201 had amyloid</w:t>
              <w:br/>
              <w:t>91.8%</w:t>
            </w:r>
          </w:p>
        </w:tc>
      </w:tr>
      <w:tr>
        <w:trPr>
          <w:cantSplit/>
        </w:trPr>
        <w:tc>
          <w:tcPr>
            <w:tcW w:type="dxa" w:w="1728"/>
            <w:vAlign w:val="center"/>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val="0"/>
                <w:color w:val="000000"/>
                <w:sz w:val="22"/>
              </w:rPr>
              <w:t>Unclear</w:t>
            </w:r>
          </w:p>
        </w:tc>
        <w:tc>
          <w:tcPr>
            <w:tcW w:type="dxa" w:w="2376"/>
            <w:vAlign w:val="center"/>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jc w:val="center"/>
            </w:pPr>
            <w:r>
              <w:rPr>
                <w:b w:val="0"/>
                <w:color w:val="000000"/>
                <w:sz w:val="22"/>
              </w:rPr>
              <w:t>98</w:t>
            </w:r>
          </w:p>
        </w:tc>
        <w:tc>
          <w:tcPr>
            <w:tcW w:type="dxa" w:w="5832"/>
            <w:vAlign w:val="center"/>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val="0"/>
                <w:color w:val="000000"/>
                <w:sz w:val="22"/>
              </w:rPr>
              <w:t>49 had amyloid</w:t>
              <w:br/>
              <w:t>50.0%</w:t>
            </w:r>
          </w:p>
        </w:tc>
      </w:tr>
      <w:tr>
        <w:trPr>
          <w:cantSplit/>
        </w:trPr>
        <w:tc>
          <w:tcPr>
            <w:tcW w:type="dxa" w:w="1728"/>
            <w:vAlign w:val="center"/>
            <w:shd w:fill="F1F5F7"/>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val="0"/>
                <w:color w:val="000000"/>
                <w:sz w:val="22"/>
              </w:rPr>
              <w:t>Negative</w:t>
            </w:r>
          </w:p>
        </w:tc>
        <w:tc>
          <w:tcPr>
            <w:tcW w:type="dxa" w:w="2376"/>
            <w:vAlign w:val="center"/>
            <w:shd w:fill="F1F5F7"/>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jc w:val="center"/>
            </w:pPr>
            <w:r>
              <w:rPr>
                <w:b w:val="0"/>
                <w:color w:val="000000"/>
                <w:sz w:val="22"/>
              </w:rPr>
              <w:t>182</w:t>
            </w:r>
          </w:p>
        </w:tc>
        <w:tc>
          <w:tcPr>
            <w:tcW w:type="dxa" w:w="5832"/>
            <w:vAlign w:val="center"/>
            <w:shd w:fill="F1F5F7"/>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val="0"/>
                <w:color w:val="000000"/>
                <w:sz w:val="22"/>
              </w:rPr>
              <w:t>177 did not have amyloid</w:t>
              <w:br/>
              <w:t>97.3%</w:t>
            </w:r>
          </w:p>
        </w:tc>
      </w:tr>
    </w:tbl>
    <w:p>
      <w:pPr>
        <w:spacing w:after="0" w:line="100" w:lineRule="exact"/>
      </w:pPr>
      <w:r>
        <w:rPr>
          <w:sz w:val="2"/>
          <w:lang w:val="en-US"/>
        </w:rPr>
      </w:r>
    </w:p>
    <w:p>
      <w:r>
        <w:rPr>
          <w:b w:val="0"/>
          <w:lang w:val="en-US"/>
        </w:rPr>
        <w:t>About one in five people had an unclear result. The medical term is “indeterminate.” Those people needed more testing or further review. Even a clear result must be read with the person’s symptoms and other health information.</w:t>
      </w:r>
    </w:p>
    <w:p>
      <w:pPr>
        <w:pStyle w:val="Heading2"/>
      </w:pPr>
      <w:r>
        <w:rPr>
          <w:lang w:val="en-US"/>
        </w:rPr>
        <w:t>Recall update</w:t>
      </w:r>
    </w:p>
    <w:p>
      <w:r>
        <w:rPr>
          <w:b w:val="0"/>
          <w:lang w:val="en-US"/>
        </w:rPr>
        <w:t>FDA recall records reviewed for this edition still list affected Lumipulse components as “Open, Classified.” The company began the recall on December 11, 2025. It affects certain lots, not every use of the test. Affected supplies may give a falsely high ratio. That can lead to a positive or unclear result that is wrong. [5]</w:t>
      </w:r>
    </w:p>
    <w:p>
      <w:r>
        <w:rPr>
          <w:b w:val="0"/>
          <w:lang w:val="en-US"/>
        </w:rPr>
        <w:t>The lab should check its supplies against the recall notice. If a past result may have been affected, the lab and ordering clinician should review it and decide what follow-up is needed. A patient should ask the ordering office to check, rather than assume a past result was wrong.</w:t>
      </w:r>
    </w:p>
    <w:p>
      <w:pPr>
        <w:pStyle w:val="Heading1"/>
        <w:pageBreakBefore/>
      </w:pPr>
      <w:r>
        <w:rPr>
          <w:lang w:val="en-US"/>
        </w:rPr>
        <w:t>Elecsys pTau181 test</w:t>
      </w:r>
    </w:p>
    <w:p>
      <w:r>
        <w:rPr>
          <w:b w:val="0"/>
          <w:sz w:val="21"/>
          <w:lang w:val="en-US"/>
        </w:rPr>
        <w:t>Full name: Elecsys Phospho-Tau (181P) Plasma. Made by Roche Diagnostics and developed with Eli Lilly. FDA record K252163. [2]</w:t>
      </w:r>
    </w:p>
    <w:p>
      <w:pPr>
        <w:pStyle w:val="Heading2"/>
      </w:pPr>
      <w:r>
        <w:rPr>
          <w:lang w:val="en-US"/>
        </w:rPr>
        <w:t>Who it is for</w:t>
      </w:r>
    </w:p>
    <w:p>
      <w:r>
        <w:rPr>
          <w:b w:val="0"/>
          <w:lang w:val="en-US"/>
        </w:rPr>
        <w:t>This test is for adults age 55 or older who report or show memory or thinking decline. Its main role is to help a primary care clinician decide whether amyloid is unlikely. The label does not recommend it for people already referred to a specialist. [2]</w:t>
      </w:r>
    </w:p>
    <w:p>
      <w:r>
        <w:rPr>
          <w:b w:val="0"/>
          <w:lang w:val="en-US"/>
        </w:rPr>
        <w:t>The test measures one form of tau in blood. A low result can help the clinician look for other causes of the symptoms. A high result needs further review. It does not confirm Alzheimer’s disease.</w:t>
      </w:r>
    </w:p>
    <w:p>
      <w:pPr>
        <w:pStyle w:val="Heading2"/>
      </w:pPr>
      <w:r>
        <w:rPr>
          <w:lang w:val="en-US"/>
        </w:rPr>
        <w:t>What the study found</w:t>
      </w:r>
    </w:p>
    <w:p>
      <w:r>
        <w:rPr>
          <w:b w:val="0"/>
          <w:lang w:val="en-US"/>
        </w:rPr>
        <w:t>The study included 312 people in primary care. Amyloid PET scans were positive in 41 people, or 13.1% of the group. [2]</w:t>
      </w:r>
    </w:p>
    <w:tbl>
      <w:tblPr>
        <w:tblW w:type="auto" w:w="0"/>
        <w:jc w:val="center"/>
        <w:tblLayout w:type="fixed"/>
        <w:tblLook w:firstColumn="1" w:firstRow="1" w:lastColumn="0" w:lastRow="0" w:noHBand="0" w:noVBand="1" w:val="04A0"/>
      </w:tblPr>
      <w:tblGrid>
        <w:gridCol w:w="1872"/>
        <w:gridCol w:w="1224"/>
        <w:gridCol w:w="6840"/>
      </w:tblGrid>
      <w:tr>
        <w:trPr>
          <w:cantSplit/>
          <w:tblHeader/>
        </w:trPr>
        <w:tc>
          <w:tcPr>
            <w:tcW w:type="dxa" w:w="1872"/>
            <w:vAlign w:val="center"/>
            <w:shd w:fill="24465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color w:val="FFFFFF"/>
                <w:sz w:val="22"/>
              </w:rPr>
              <w:t>Blood result</w:t>
            </w:r>
          </w:p>
        </w:tc>
        <w:tc>
          <w:tcPr>
            <w:tcW w:type="dxa" w:w="1224"/>
            <w:vAlign w:val="center"/>
            <w:shd w:fill="24465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jc w:val="center"/>
            </w:pPr>
            <w:r>
              <w:rPr>
                <w:b/>
                <w:color w:val="FFFFFF"/>
                <w:sz w:val="22"/>
              </w:rPr>
              <w:t>Number</w:t>
            </w:r>
          </w:p>
        </w:tc>
        <w:tc>
          <w:tcPr>
            <w:tcW w:type="dxa" w:w="6840"/>
            <w:vAlign w:val="center"/>
            <w:shd w:fill="24465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color w:val="FFFFFF"/>
                <w:sz w:val="22"/>
              </w:rPr>
              <w:t>PET scan finding</w:t>
            </w:r>
          </w:p>
        </w:tc>
      </w:tr>
      <w:tr>
        <w:trPr>
          <w:cantSplit/>
        </w:trPr>
        <w:tc>
          <w:tcPr>
            <w:tcW w:type="dxa" w:w="1872"/>
            <w:vAlign w:val="center"/>
            <w:shd w:fill="F1F5F7"/>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val="0"/>
                <w:color w:val="000000"/>
                <w:sz w:val="22"/>
              </w:rPr>
              <w:t>Negative</w:t>
            </w:r>
          </w:p>
        </w:tc>
        <w:tc>
          <w:tcPr>
            <w:tcW w:type="dxa" w:w="1224"/>
            <w:vAlign w:val="center"/>
            <w:shd w:fill="F1F5F7"/>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jc w:val="center"/>
            </w:pPr>
            <w:r>
              <w:rPr>
                <w:b w:val="0"/>
                <w:color w:val="000000"/>
                <w:sz w:val="22"/>
              </w:rPr>
              <w:t>142</w:t>
            </w:r>
          </w:p>
        </w:tc>
        <w:tc>
          <w:tcPr>
            <w:tcW w:type="dxa" w:w="6840"/>
            <w:vAlign w:val="center"/>
            <w:shd w:fill="F1F5F7"/>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val="0"/>
                <w:color w:val="000000"/>
                <w:sz w:val="22"/>
              </w:rPr>
              <w:t>139 had a negative PET scan</w:t>
              <w:br/>
              <w:t>97.9%</w:t>
            </w:r>
          </w:p>
        </w:tc>
      </w:tr>
      <w:tr>
        <w:trPr>
          <w:cantSplit/>
        </w:trPr>
        <w:tc>
          <w:tcPr>
            <w:tcW w:type="dxa" w:w="1872"/>
            <w:vAlign w:val="center"/>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val="0"/>
                <w:color w:val="000000"/>
                <w:sz w:val="22"/>
              </w:rPr>
              <w:t>Positive</w:t>
            </w:r>
          </w:p>
        </w:tc>
        <w:tc>
          <w:tcPr>
            <w:tcW w:type="dxa" w:w="1224"/>
            <w:vAlign w:val="center"/>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jc w:val="center"/>
            </w:pPr>
            <w:r>
              <w:rPr>
                <w:b w:val="0"/>
                <w:color w:val="000000"/>
                <w:sz w:val="22"/>
              </w:rPr>
              <w:t>170</w:t>
            </w:r>
          </w:p>
        </w:tc>
        <w:tc>
          <w:tcPr>
            <w:tcW w:type="dxa" w:w="6840"/>
            <w:vAlign w:val="center"/>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val="0"/>
                <w:color w:val="000000"/>
                <w:sz w:val="22"/>
              </w:rPr>
              <w:t>38 had a positive PET scan</w:t>
              <w:br/>
              <w:t>22.4%</w:t>
            </w:r>
          </w:p>
        </w:tc>
      </w:tr>
    </w:tbl>
    <w:p>
      <w:pPr>
        <w:spacing w:after="0" w:line="100" w:lineRule="exact"/>
      </w:pPr>
      <w:r>
        <w:rPr>
          <w:sz w:val="2"/>
          <w:lang w:val="en-US"/>
        </w:rPr>
      </w:r>
    </w:p>
    <w:p>
      <w:r>
        <w:rPr>
          <w:b w:val="0"/>
          <w:lang w:val="en-US"/>
        </w:rPr>
        <w:t>Of the 170 people with a positive blood result, 132 had a negative PET scan. That is about 78%. The original report called these results “wrong.” A more precise statement is that they did not match a positive PET scan in this study.</w:t>
      </w:r>
    </w:p>
    <w:p>
      <w:r>
        <w:rPr>
          <w:b w:val="0"/>
          <w:lang w:val="en-US"/>
        </w:rPr>
        <w:t>Three of the 41 people with a positive PET scan had a negative blood result. So a negative result lowers concern about amyloid, but it cannot end the search for a cause if symptoms continue.</w:t>
      </w:r>
    </w:p>
    <w:p>
      <w:pPr>
        <w:pStyle w:val="Heading2"/>
      </w:pPr>
      <w:r>
        <w:rPr>
          <w:lang w:val="en-US"/>
        </w:rPr>
        <w:t>How to explain this to a family</w:t>
      </w:r>
    </w:p>
    <w:p>
      <w:r>
        <w:rPr>
          <w:b w:val="0"/>
          <w:lang w:val="en-US"/>
        </w:rPr>
        <w:t>A clinician might say: “This result makes amyloid less likely. We still need to understand what is causing your memory problems.”</w:t>
      </w:r>
    </w:p>
    <w:p>
      <w:r>
        <w:rPr>
          <w:b w:val="0"/>
          <w:lang w:val="en-US"/>
        </w:rPr>
        <w:t>For a positive result, a clearer message is: “This test cannot give us a diagnosis. We need another step to learn whether amyloid is involved.”</w:t>
      </w:r>
    </w:p>
    <w:p>
      <w:r>
        <w:rPr>
          <w:b w:val="0"/>
          <w:lang w:val="en-US"/>
        </w:rPr>
        <w:t>The study supports this test’s use in an early review. Its numbers should not be used to judge every other blood test. Each test has its own design, cutoff, and study group. [2]</w:t>
      </w:r>
    </w:p>
    <w:p>
      <w:pPr>
        <w:pStyle w:val="Heading1"/>
        <w:pageBreakBefore/>
      </w:pPr>
      <w:r>
        <w:rPr>
          <w:lang w:val="en-US"/>
        </w:rPr>
        <w:t>PrecivityAD2 test</w:t>
      </w:r>
    </w:p>
    <w:p>
      <w:r>
        <w:rPr>
          <w:b w:val="0"/>
          <w:sz w:val="21"/>
          <w:lang w:val="en-US"/>
        </w:rPr>
        <w:t>Made by C2N Diagnostics. FDA record K253240. Cleared August 19, 2026. [3]</w:t>
      </w:r>
    </w:p>
    <w:p>
      <w:pPr>
        <w:pStyle w:val="Heading2"/>
      </w:pPr>
      <w:r>
        <w:rPr>
          <w:lang w:val="en-US"/>
        </w:rPr>
        <w:t>Who it is for</w:t>
      </w:r>
    </w:p>
    <w:p>
      <w:r>
        <w:rPr>
          <w:b w:val="0"/>
          <w:lang w:val="en-US"/>
        </w:rPr>
        <w:t>The FDA-cleared version is for adults age 40 or older who have signs or symptoms of a decline in thinking. It is used by health care professionals with experience in checking these problems. It is not a general screening test. [3]</w:t>
      </w:r>
    </w:p>
    <w:p>
      <w:r>
        <w:rPr>
          <w:b w:val="0"/>
          <w:lang w:val="en-US"/>
        </w:rPr>
        <w:t>The test compares forms of amyloid and tau. It combines the results into an Amyloid Probability Score 2, or APS2, from 0 to 100. This is a lab score. It is not a measure of how severe a person’s dementia is.</w:t>
      </w:r>
    </w:p>
    <w:p>
      <w:pPr>
        <w:pStyle w:val="Heading2"/>
      </w:pPr>
      <w:r>
        <w:rPr>
          <w:lang w:val="en-US"/>
        </w:rPr>
        <w:t>What the study found</w:t>
      </w:r>
    </w:p>
    <w:p>
      <w:r>
        <w:rPr>
          <w:b w:val="0"/>
          <w:lang w:val="en-US"/>
        </w:rPr>
        <w:t>The study included 1,142 people. PET scans or spinal fluid tests showed amyloid in 52.7% of them. Results were reported in three groups. [3]</w:t>
      </w:r>
    </w:p>
    <w:tbl>
      <w:tblPr>
        <w:tblW w:type="auto" w:w="0"/>
        <w:jc w:val="center"/>
        <w:tblLayout w:type="fixed"/>
        <w:tblLook w:firstColumn="1" w:firstRow="1" w:lastColumn="0" w:lastRow="0" w:noHBand="0" w:noVBand="1" w:val="04A0"/>
      </w:tblPr>
      <w:tblGrid>
        <w:gridCol w:w="2088"/>
        <w:gridCol w:w="1224"/>
        <w:gridCol w:w="6624"/>
      </w:tblGrid>
      <w:tr>
        <w:trPr>
          <w:cantSplit/>
          <w:tblHeader/>
        </w:trPr>
        <w:tc>
          <w:tcPr>
            <w:tcW w:type="dxa" w:w="2088"/>
            <w:vAlign w:val="center"/>
            <w:shd w:fill="24465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color w:val="FFFFFF"/>
                <w:sz w:val="22"/>
              </w:rPr>
              <w:t>Blood result</w:t>
            </w:r>
          </w:p>
        </w:tc>
        <w:tc>
          <w:tcPr>
            <w:tcW w:type="dxa" w:w="1224"/>
            <w:vAlign w:val="center"/>
            <w:shd w:fill="24465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jc w:val="center"/>
            </w:pPr>
            <w:r>
              <w:rPr>
                <w:b/>
                <w:color w:val="FFFFFF"/>
                <w:sz w:val="22"/>
              </w:rPr>
              <w:t>Number</w:t>
            </w:r>
          </w:p>
        </w:tc>
        <w:tc>
          <w:tcPr>
            <w:tcW w:type="dxa" w:w="6624"/>
            <w:vAlign w:val="center"/>
            <w:shd w:fill="24465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color w:val="FFFFFF"/>
                <w:sz w:val="22"/>
              </w:rPr>
              <w:t>What the comparison test showed</w:t>
            </w:r>
          </w:p>
        </w:tc>
      </w:tr>
      <w:tr>
        <w:trPr>
          <w:cantSplit/>
        </w:trPr>
        <w:tc>
          <w:tcPr>
            <w:tcW w:type="dxa" w:w="2088"/>
            <w:vAlign w:val="center"/>
            <w:shd w:fill="F1F5F7"/>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val="0"/>
                <w:color w:val="000000"/>
                <w:sz w:val="22"/>
              </w:rPr>
              <w:t>Positive</w:t>
            </w:r>
          </w:p>
        </w:tc>
        <w:tc>
          <w:tcPr>
            <w:tcW w:type="dxa" w:w="1224"/>
            <w:vAlign w:val="center"/>
            <w:shd w:fill="F1F5F7"/>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jc w:val="center"/>
            </w:pPr>
            <w:r>
              <w:rPr>
                <w:b w:val="0"/>
                <w:color w:val="000000"/>
                <w:sz w:val="22"/>
              </w:rPr>
              <w:t>423</w:t>
            </w:r>
          </w:p>
        </w:tc>
        <w:tc>
          <w:tcPr>
            <w:tcW w:type="dxa" w:w="6624"/>
            <w:vAlign w:val="center"/>
            <w:shd w:fill="F1F5F7"/>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val="0"/>
                <w:color w:val="000000"/>
                <w:sz w:val="22"/>
              </w:rPr>
              <w:t>413 had amyloid</w:t>
              <w:br/>
              <w:t>97.6%</w:t>
            </w:r>
          </w:p>
        </w:tc>
      </w:tr>
      <w:tr>
        <w:trPr>
          <w:cantSplit/>
        </w:trPr>
        <w:tc>
          <w:tcPr>
            <w:tcW w:type="dxa" w:w="2088"/>
            <w:vAlign w:val="center"/>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val="0"/>
                <w:color w:val="000000"/>
                <w:sz w:val="22"/>
              </w:rPr>
              <w:t>Likely positive</w:t>
            </w:r>
          </w:p>
        </w:tc>
        <w:tc>
          <w:tcPr>
            <w:tcW w:type="dxa" w:w="1224"/>
            <w:vAlign w:val="center"/>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jc w:val="center"/>
            </w:pPr>
            <w:r>
              <w:rPr>
                <w:b w:val="0"/>
                <w:color w:val="000000"/>
                <w:sz w:val="22"/>
              </w:rPr>
              <w:t>198</w:t>
            </w:r>
          </w:p>
        </w:tc>
        <w:tc>
          <w:tcPr>
            <w:tcW w:type="dxa" w:w="6624"/>
            <w:vAlign w:val="center"/>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val="0"/>
                <w:color w:val="000000"/>
                <w:sz w:val="22"/>
              </w:rPr>
              <w:t>153 had amyloid</w:t>
              <w:br/>
              <w:t>77.3%</w:t>
            </w:r>
          </w:p>
        </w:tc>
      </w:tr>
      <w:tr>
        <w:trPr>
          <w:cantSplit/>
        </w:trPr>
        <w:tc>
          <w:tcPr>
            <w:tcW w:type="dxa" w:w="2088"/>
            <w:vAlign w:val="center"/>
            <w:shd w:fill="F1F5F7"/>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val="0"/>
                <w:color w:val="000000"/>
                <w:sz w:val="22"/>
              </w:rPr>
              <w:t>Negative</w:t>
            </w:r>
          </w:p>
        </w:tc>
        <w:tc>
          <w:tcPr>
            <w:tcW w:type="dxa" w:w="1224"/>
            <w:vAlign w:val="center"/>
            <w:shd w:fill="F1F5F7"/>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jc w:val="center"/>
            </w:pPr>
            <w:r>
              <w:rPr>
                <w:b w:val="0"/>
                <w:color w:val="000000"/>
                <w:sz w:val="22"/>
              </w:rPr>
              <w:t>521</w:t>
            </w:r>
          </w:p>
        </w:tc>
        <w:tc>
          <w:tcPr>
            <w:tcW w:type="dxa" w:w="6624"/>
            <w:vAlign w:val="center"/>
            <w:shd w:fill="F1F5F7"/>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val="0"/>
                <w:color w:val="000000"/>
                <w:sz w:val="22"/>
              </w:rPr>
              <w:t>485 did not have amyloid</w:t>
              <w:br/>
              <w:t>93.1%</w:t>
            </w:r>
          </w:p>
        </w:tc>
      </w:tr>
    </w:tbl>
    <w:p>
      <w:pPr>
        <w:spacing w:after="0" w:line="100" w:lineRule="exact"/>
      </w:pPr>
      <w:r>
        <w:rPr>
          <w:sz w:val="2"/>
          <w:lang w:val="en-US"/>
        </w:rPr>
      </w:r>
    </w:p>
    <w:p>
      <w:r>
        <w:rPr>
          <w:b w:val="0"/>
          <w:lang w:val="en-US"/>
        </w:rPr>
        <w:t>“Likely positive” is the test’s own result label. It is not the same as the “unclear” category used by some other tests. About one in six people fell into this group. Their results need careful review; the 97.6% figure does not apply to them.</w:t>
      </w:r>
    </w:p>
    <w:p>
      <w:pPr>
        <w:pStyle w:val="Heading2"/>
      </w:pPr>
      <w:r>
        <w:rPr>
          <w:lang w:val="en-US"/>
        </w:rPr>
        <w:t>Clearance and access are different</w:t>
      </w:r>
    </w:p>
    <w:p>
      <w:r>
        <w:rPr>
          <w:b w:val="0"/>
          <w:lang w:val="en-US"/>
        </w:rPr>
        <w:t>C2N’s August 20 announcement said the FDA-cleared version was expected later in 2026. Its website reviewed for this edition still identifies the currently available version as a laboratory-developed test, or LDT. That means it is a test offered through the company’s lab under lab rules. [8,15]</w:t>
      </w:r>
    </w:p>
    <w:p>
      <w:r>
        <w:rPr>
          <w:b w:val="0"/>
          <w:lang w:val="en-US"/>
        </w:rPr>
        <w:t>Before ordering, the clinician should confirm which version the lab will run and which age range and instructions apply. A familiar test name does not prove that the lab is using the newly cleared version.</w:t>
      </w:r>
    </w:p>
    <w:p>
      <w:r>
        <w:rPr>
          <w:b w:val="0"/>
          <w:lang w:val="en-US"/>
        </w:rPr>
        <w:t>The FDA age limit also does not set the insurer’s age limit. For example, the Anthem policy reviewed for this report uses age 50 or older for blood biomarker testing. [9]</w:t>
      </w:r>
    </w:p>
    <w:p>
      <w:pPr>
        <w:pStyle w:val="Heading1"/>
        <w:pageBreakBefore/>
      </w:pPr>
      <w:r>
        <w:rPr>
          <w:lang w:val="en-US"/>
        </w:rPr>
        <w:t>Elecsys pTau217 test</w:t>
      </w:r>
    </w:p>
    <w:p>
      <w:r>
        <w:rPr>
          <w:b w:val="0"/>
          <w:sz w:val="21"/>
          <w:lang w:val="en-US"/>
        </w:rPr>
        <w:t>Full name: Elecsys Phospho-Tau (217P) Plasma. Made by Roche Diagnostics and developed with Eli Lilly. FDA record K261686. [4,7]</w:t>
      </w:r>
    </w:p>
    <w:p>
      <w:pPr>
        <w:pStyle w:val="Heading2"/>
      </w:pPr>
      <w:r>
        <w:rPr>
          <w:lang w:val="en-US"/>
        </w:rPr>
        <w:t>Who it is for</w:t>
      </w:r>
    </w:p>
    <w:p>
      <w:r>
        <w:rPr>
          <w:b w:val="0"/>
          <w:lang w:val="en-US"/>
        </w:rPr>
        <w:t>This test is for adults age 55 or older with signs, symptoms, or concerns about thinking decline. It measures pTau217 and can help assess whether amyloid is likely or unlikely. Roche describes its use in both primary and specialty care. [4,7]</w:t>
      </w:r>
    </w:p>
    <w:p>
      <w:pPr>
        <w:pStyle w:val="Heading2"/>
      </w:pPr>
      <w:r>
        <w:rPr>
          <w:lang w:val="en-US"/>
        </w:rPr>
        <w:t>Newly available study results</w:t>
      </w:r>
    </w:p>
    <w:p>
      <w:r>
        <w:rPr>
          <w:b w:val="0"/>
          <w:lang w:val="en-US"/>
        </w:rPr>
        <w:t>The FDA record now includes results from 958 people. Their PET scans showed amyloid in 39.5% of the group. These data were missing from the earlier edition. [4]</w:t>
      </w:r>
    </w:p>
    <w:tbl>
      <w:tblPr>
        <w:tblW w:type="auto" w:w="0"/>
        <w:jc w:val="center"/>
        <w:tblLayout w:type="fixed"/>
        <w:tblLook w:firstColumn="1" w:firstRow="1" w:lastColumn="0" w:lastRow="0" w:noHBand="0" w:noVBand="1" w:val="04A0"/>
      </w:tblPr>
      <w:tblGrid>
        <w:gridCol w:w="1944"/>
        <w:gridCol w:w="1224"/>
        <w:gridCol w:w="6768"/>
      </w:tblGrid>
      <w:tr>
        <w:trPr>
          <w:cantSplit/>
          <w:tblHeader/>
        </w:trPr>
        <w:tc>
          <w:tcPr>
            <w:tcW w:type="dxa" w:w="1944"/>
            <w:vAlign w:val="center"/>
            <w:shd w:fill="24465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color w:val="FFFFFF"/>
                <w:sz w:val="22"/>
              </w:rPr>
              <w:t>Blood result</w:t>
            </w:r>
          </w:p>
        </w:tc>
        <w:tc>
          <w:tcPr>
            <w:tcW w:type="dxa" w:w="1224"/>
            <w:vAlign w:val="center"/>
            <w:shd w:fill="24465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jc w:val="center"/>
            </w:pPr>
            <w:r>
              <w:rPr>
                <w:b/>
                <w:color w:val="FFFFFF"/>
                <w:sz w:val="22"/>
              </w:rPr>
              <w:t>Number</w:t>
            </w:r>
          </w:p>
        </w:tc>
        <w:tc>
          <w:tcPr>
            <w:tcW w:type="dxa" w:w="6768"/>
            <w:vAlign w:val="center"/>
            <w:shd w:fill="24465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color w:val="FFFFFF"/>
                <w:sz w:val="22"/>
              </w:rPr>
              <w:t>PET scan finding</w:t>
            </w:r>
          </w:p>
        </w:tc>
      </w:tr>
      <w:tr>
        <w:trPr>
          <w:cantSplit/>
        </w:trPr>
        <w:tc>
          <w:tcPr>
            <w:tcW w:type="dxa" w:w="1944"/>
            <w:vAlign w:val="center"/>
            <w:shd w:fill="F1F5F7"/>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val="0"/>
                <w:color w:val="000000"/>
                <w:sz w:val="22"/>
              </w:rPr>
              <w:t>Positive</w:t>
            </w:r>
          </w:p>
        </w:tc>
        <w:tc>
          <w:tcPr>
            <w:tcW w:type="dxa" w:w="1224"/>
            <w:vAlign w:val="center"/>
            <w:shd w:fill="F1F5F7"/>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jc w:val="center"/>
            </w:pPr>
            <w:r>
              <w:rPr>
                <w:b w:val="0"/>
                <w:color w:val="000000"/>
                <w:sz w:val="22"/>
              </w:rPr>
              <w:t>322</w:t>
            </w:r>
          </w:p>
        </w:tc>
        <w:tc>
          <w:tcPr>
            <w:tcW w:type="dxa" w:w="6768"/>
            <w:vAlign w:val="center"/>
            <w:shd w:fill="F1F5F7"/>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val="0"/>
                <w:color w:val="000000"/>
                <w:sz w:val="22"/>
              </w:rPr>
              <w:t>285 had amyloid</w:t>
              <w:br/>
              <w:t>88.5%</w:t>
            </w:r>
          </w:p>
        </w:tc>
      </w:tr>
      <w:tr>
        <w:trPr>
          <w:cantSplit/>
        </w:trPr>
        <w:tc>
          <w:tcPr>
            <w:tcW w:type="dxa" w:w="1944"/>
            <w:vAlign w:val="center"/>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val="0"/>
                <w:color w:val="000000"/>
                <w:sz w:val="22"/>
              </w:rPr>
              <w:t>Unclear</w:t>
            </w:r>
          </w:p>
        </w:tc>
        <w:tc>
          <w:tcPr>
            <w:tcW w:type="dxa" w:w="1224"/>
            <w:vAlign w:val="center"/>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jc w:val="center"/>
            </w:pPr>
            <w:r>
              <w:rPr>
                <w:b w:val="0"/>
                <w:color w:val="000000"/>
                <w:sz w:val="22"/>
              </w:rPr>
              <w:t>191</w:t>
            </w:r>
          </w:p>
        </w:tc>
        <w:tc>
          <w:tcPr>
            <w:tcW w:type="dxa" w:w="6768"/>
            <w:vAlign w:val="center"/>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val="0"/>
                <w:color w:val="000000"/>
                <w:sz w:val="22"/>
              </w:rPr>
              <w:t>72 had amyloid</w:t>
              <w:br/>
              <w:t>37.7%</w:t>
            </w:r>
          </w:p>
        </w:tc>
      </w:tr>
      <w:tr>
        <w:trPr>
          <w:cantSplit/>
        </w:trPr>
        <w:tc>
          <w:tcPr>
            <w:tcW w:type="dxa" w:w="1944"/>
            <w:vAlign w:val="center"/>
            <w:shd w:fill="F1F5F7"/>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val="0"/>
                <w:color w:val="000000"/>
                <w:sz w:val="22"/>
              </w:rPr>
              <w:t>Negative</w:t>
            </w:r>
          </w:p>
        </w:tc>
        <w:tc>
          <w:tcPr>
            <w:tcW w:type="dxa" w:w="1224"/>
            <w:vAlign w:val="center"/>
            <w:shd w:fill="F1F5F7"/>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jc w:val="center"/>
            </w:pPr>
            <w:r>
              <w:rPr>
                <w:b w:val="0"/>
                <w:color w:val="000000"/>
                <w:sz w:val="22"/>
              </w:rPr>
              <w:t>445</w:t>
            </w:r>
          </w:p>
        </w:tc>
        <w:tc>
          <w:tcPr>
            <w:tcW w:type="dxa" w:w="6768"/>
            <w:vAlign w:val="center"/>
            <w:shd w:fill="F1F5F7"/>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val="0"/>
                <w:color w:val="000000"/>
                <w:sz w:val="22"/>
              </w:rPr>
              <w:t>424 did not have amyloid</w:t>
              <w:br/>
              <w:t>95.3%</w:t>
            </w:r>
          </w:p>
        </w:tc>
      </w:tr>
    </w:tbl>
    <w:p>
      <w:pPr>
        <w:spacing w:after="0" w:line="100" w:lineRule="exact"/>
      </w:pPr>
      <w:r>
        <w:rPr>
          <w:sz w:val="2"/>
          <w:lang w:val="en-US"/>
        </w:rPr>
      </w:r>
    </w:p>
    <w:p>
      <w:pPr>
        <w:pStyle w:val="Heading2"/>
      </w:pPr>
      <w:r>
        <w:rPr>
          <w:lang w:val="en-US"/>
        </w:rPr>
        <w:t>Results differed by care setting</w:t>
      </w:r>
    </w:p>
    <w:tbl>
      <w:tblPr>
        <w:tblW w:type="auto" w:w="0"/>
        <w:jc w:val="center"/>
        <w:tblLayout w:type="fixed"/>
        <w:tblLook w:firstColumn="1" w:firstRow="1" w:lastColumn="0" w:lastRow="0" w:noHBand="0" w:noVBand="1" w:val="04A0"/>
      </w:tblPr>
      <w:tblGrid>
        <w:gridCol w:w="2592"/>
        <w:gridCol w:w="3672"/>
        <w:gridCol w:w="3672"/>
      </w:tblGrid>
      <w:tr>
        <w:trPr>
          <w:cantSplit/>
          <w:tblHeader/>
        </w:trPr>
        <w:tc>
          <w:tcPr>
            <w:tcW w:type="dxa" w:w="2592"/>
            <w:vAlign w:val="center"/>
            <w:shd w:fill="24465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color w:val="FFFFFF"/>
                <w:sz w:val="22"/>
              </w:rPr>
              <w:t>Study group</w:t>
            </w:r>
          </w:p>
        </w:tc>
        <w:tc>
          <w:tcPr>
            <w:tcW w:type="dxa" w:w="3672"/>
            <w:vAlign w:val="center"/>
            <w:shd w:fill="24465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jc w:val="center"/>
            </w:pPr>
            <w:r>
              <w:rPr>
                <w:b/>
                <w:color w:val="FFFFFF"/>
                <w:sz w:val="22"/>
              </w:rPr>
              <w:t>Positive results that matched positive PET</w:t>
            </w:r>
          </w:p>
        </w:tc>
        <w:tc>
          <w:tcPr>
            <w:tcW w:type="dxa" w:w="3672"/>
            <w:vAlign w:val="center"/>
            <w:shd w:fill="24465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jc w:val="center"/>
            </w:pPr>
            <w:r>
              <w:rPr>
                <w:b/>
                <w:color w:val="FFFFFF"/>
                <w:sz w:val="22"/>
              </w:rPr>
              <w:t>Negative results that matched negative PET</w:t>
            </w:r>
          </w:p>
        </w:tc>
      </w:tr>
      <w:tr>
        <w:trPr>
          <w:cantSplit/>
        </w:trPr>
        <w:tc>
          <w:tcPr>
            <w:tcW w:type="dxa" w:w="2592"/>
            <w:vAlign w:val="center"/>
            <w:shd w:fill="F1F5F7"/>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val="0"/>
                <w:color w:val="000000"/>
                <w:sz w:val="22"/>
              </w:rPr>
              <w:t>Primary care</w:t>
              <w:br/>
              <w:t>238 people</w:t>
            </w:r>
          </w:p>
        </w:tc>
        <w:tc>
          <w:tcPr>
            <w:tcW w:type="dxa" w:w="3672"/>
            <w:vAlign w:val="center"/>
            <w:shd w:fill="F1F5F7"/>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jc w:val="center"/>
            </w:pPr>
            <w:r>
              <w:rPr>
                <w:b w:val="0"/>
                <w:color w:val="000000"/>
                <w:sz w:val="22"/>
              </w:rPr>
              <w:t>78.3%</w:t>
            </w:r>
          </w:p>
        </w:tc>
        <w:tc>
          <w:tcPr>
            <w:tcW w:type="dxa" w:w="3672"/>
            <w:vAlign w:val="center"/>
            <w:shd w:fill="F1F5F7"/>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jc w:val="center"/>
            </w:pPr>
            <w:r>
              <w:rPr>
                <w:b w:val="0"/>
                <w:color w:val="000000"/>
                <w:sz w:val="22"/>
              </w:rPr>
              <w:t>98.6%</w:t>
            </w:r>
          </w:p>
        </w:tc>
      </w:tr>
      <w:tr>
        <w:trPr>
          <w:cantSplit/>
        </w:trPr>
        <w:tc>
          <w:tcPr>
            <w:tcW w:type="dxa" w:w="2592"/>
            <w:vAlign w:val="center"/>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val="0"/>
                <w:color w:val="000000"/>
                <w:sz w:val="22"/>
              </w:rPr>
              <w:t>Specialty care</w:t>
              <w:br/>
              <w:t>720 people</w:t>
            </w:r>
          </w:p>
        </w:tc>
        <w:tc>
          <w:tcPr>
            <w:tcW w:type="dxa" w:w="3672"/>
            <w:vAlign w:val="center"/>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jc w:val="center"/>
            </w:pPr>
            <w:r>
              <w:rPr>
                <w:b w:val="0"/>
                <w:color w:val="000000"/>
                <w:sz w:val="22"/>
              </w:rPr>
              <w:t>90.2%</w:t>
            </w:r>
          </w:p>
        </w:tc>
        <w:tc>
          <w:tcPr>
            <w:tcW w:type="dxa" w:w="3672"/>
            <w:vAlign w:val="center"/>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jc w:val="center"/>
            </w:pPr>
            <w:r>
              <w:rPr>
                <w:b w:val="0"/>
                <w:color w:val="000000"/>
                <w:sz w:val="22"/>
              </w:rPr>
              <w:t>93.7%</w:t>
            </w:r>
          </w:p>
        </w:tc>
      </w:tr>
    </w:tbl>
    <w:p>
      <w:pPr>
        <w:spacing w:after="0" w:line="100" w:lineRule="exact"/>
      </w:pPr>
      <w:r>
        <w:rPr>
          <w:sz w:val="2"/>
          <w:lang w:val="en-US"/>
        </w:rPr>
      </w:r>
    </w:p>
    <w:p>
      <w:r>
        <w:rPr>
          <w:b w:val="0"/>
          <w:lang w:val="en-US"/>
        </w:rPr>
        <w:t>About one in five results was unclear in both settings. The same cutoffs were used, but the groups had different levels of amyloid. These findings show why a single accuracy claim can leave out useful detail. [4]</w:t>
      </w:r>
    </w:p>
    <w:p>
      <w:r>
        <w:rPr>
          <w:b w:val="0"/>
          <w:lang w:val="en-US"/>
        </w:rPr>
        <w:t>Roche says existing lab equipment may help expand access. Local test options, waiting times, and costs still need checking. [7]</w:t>
      </w:r>
    </w:p>
    <w:p>
      <w:pPr>
        <w:pStyle w:val="Heading1"/>
        <w:pageBreakBefore/>
      </w:pPr>
      <w:r>
        <w:rPr>
          <w:lang w:val="en-US"/>
        </w:rPr>
        <w:t>Understanding a test result</w:t>
      </w:r>
    </w:p>
    <w:p>
      <w:pPr>
        <w:pStyle w:val="Heading2"/>
      </w:pPr>
      <w:r>
        <w:rPr>
          <w:lang w:val="en-US"/>
        </w:rPr>
        <w:t>The study group matters</w:t>
      </w:r>
    </w:p>
    <w:p>
      <w:r>
        <w:rPr>
          <w:b w:val="0"/>
          <w:lang w:val="en-US"/>
        </w:rPr>
        <w:t>Imagine two groups of people with memory concerns. One is at a family doctor’s office. The other has already been sent to a memory clinic after more checks. The second group may have a higher chance of amyloid before anyone draws blood.</w:t>
      </w:r>
    </w:p>
    <w:p>
      <w:r>
        <w:rPr>
          <w:b w:val="0"/>
          <w:lang w:val="en-US"/>
        </w:rPr>
        <w:t>That starting chance affects what a positive result means. The medical term is “prevalence”: how common amyloid is in the group being tested. Test design also matters. We cannot compare results from separate studies as though all the tests were tried on the same people. [1–4]</w:t>
      </w:r>
    </w:p>
    <w:p>
      <w:r>
        <w:rPr>
          <w:b w:val="0"/>
          <w:lang w:val="en-US"/>
        </w:rPr>
        <w:t>For example, 13.1% of people in the pTau181 study had amyloid on PET. In the PrecivityAD2 study, 52.7% had amyloid on the comparison test. The difference helps explain why their positive-result numbers look so different. It does not, by itself, rank the tests.</w:t>
      </w:r>
    </w:p>
    <w:p>
      <w:pPr>
        <w:pStyle w:val="Heading2"/>
      </w:pPr>
      <w:r>
        <w:rPr>
          <w:lang w:val="en-US"/>
        </w:rPr>
        <w:t>Amyloid and dementia are not the same</w:t>
      </w:r>
    </w:p>
    <w:p>
      <w:r>
        <w:rPr>
          <w:b w:val="0"/>
          <w:lang w:val="en-US"/>
        </w:rPr>
        <w:t>A person can have amyloid in the brain without having dementia. A person can also have more than one cause of memory loss. Finding amyloid does not prove that it explains every symptom. A blood result alone cannot tell when a person will lose skills or how fast the illness will change. [1–4,14]</w:t>
      </w:r>
    </w:p>
    <w:p>
      <w:r>
        <w:rPr>
          <w:b w:val="0"/>
          <w:lang w:val="en-US"/>
        </w:rPr>
        <w:t>These are not routine screening tests for healthy adults. Age or family history alone is not the cleared reason to order them. People with symptoms still need a review of their health, medicines, memory, and daily life.</w:t>
      </w:r>
    </w:p>
    <w:p>
      <w:pPr>
        <w:pStyle w:val="Heading2"/>
      </w:pPr>
      <w:r>
        <w:rPr>
          <w:lang w:val="en-US"/>
        </w:rPr>
        <w:t>When more testing may be needed</w:t>
      </w:r>
    </w:p>
    <w:p>
      <w:r>
        <w:rPr>
          <w:b w:val="0"/>
          <w:lang w:val="en-US"/>
        </w:rPr>
        <w:t>An unclear result usually leads to more review or another test. A positive result from a test meant only to rule out amyloid also needs follow-up. A negative result does not close the case if symptoms persist.</w:t>
      </w:r>
    </w:p>
    <w:p>
      <w:r>
        <w:rPr>
          <w:b w:val="0"/>
          <w:lang w:val="en-US"/>
        </w:rPr>
        <w:t>The Alzheimer’s Association’s 2025 guideline allows some high-performing blood tests to replace PET or spinal fluid testing in specialty care. Others should be used only to decide who needs more testing. This depends on the specific test’s evidence and the patient’s situation. All still require a full clinical evaluation. [6]</w:t>
      </w:r>
    </w:p>
    <w:p>
      <w:pPr>
        <w:pStyle w:val="Heading2"/>
      </w:pPr>
      <w:r>
        <w:rPr>
          <w:lang w:val="en-US"/>
        </w:rPr>
        <w:t>What the result can change</w:t>
      </w:r>
    </w:p>
    <w:p>
      <w:r>
        <w:rPr>
          <w:b w:val="0"/>
          <w:lang w:val="en-US"/>
        </w:rPr>
        <w:t>A clearer diagnosis can help a family plan care and discuss treatment. For some people with early Alzheimer’s disease, it may help start a review for an amyloid-lowering drug. A positive test alone does not make someone eligible. Symptoms, disease stage, safety checks, and coverage rules also matter. [12]</w:t>
      </w:r>
    </w:p>
    <w:p>
      <w:pPr>
        <w:pStyle w:val="Heading1"/>
        <w:pageBreakBefore/>
      </w:pPr>
      <w:r>
        <w:rPr>
          <w:lang w:val="en-US"/>
        </w:rPr>
        <w:t>Who pays for testing</w:t>
      </w:r>
    </w:p>
    <w:p>
      <w:r>
        <w:rPr>
          <w:b w:val="0"/>
          <w:lang w:val="en-US"/>
        </w:rPr>
        <w:t>Before the blood draw, ask for the exact test name, the lab that will run it, and a written cost estimate. FDA clearance does not guarantee insurance payment.</w:t>
      </w:r>
    </w:p>
    <w:p>
      <w:pPr>
        <w:pStyle w:val="Heading2"/>
      </w:pPr>
      <w:r>
        <w:rPr>
          <w:lang w:val="en-US"/>
        </w:rPr>
        <w:t>Medicare</w:t>
      </w:r>
    </w:p>
    <w:p>
      <w:r>
        <w:rPr>
          <w:b w:val="0"/>
          <w:lang w:val="en-US"/>
        </w:rPr>
        <w:t>This review did not find one national Medicare policy that guarantees payment for all four blood tests. That is not proof that every claim will be denied. Coverage must be checked for the exact test and the person’s plan. A billing code or listed payment rate is not, by itself, a coverage decision. [13]</w:t>
      </w:r>
    </w:p>
    <w:p>
      <w:r>
        <w:rPr>
          <w:b w:val="0"/>
          <w:lang w:val="en-US"/>
        </w:rPr>
        <w:t>Amyloid PET scans have a separate policy. In October 2023, Medicare removed its old national restriction and allowed its regional contractors to make coverage decisions. That change did not automatically create coverage for blood tests. [11]</w:t>
      </w:r>
    </w:p>
    <w:p>
      <w:r>
        <w:rPr>
          <w:b w:val="0"/>
          <w:lang w:val="en-US"/>
        </w:rPr>
        <w:t>Medicare also has separate rules for amyloid-lowering antibody drugs. Its national policy covers eligible people with mild thinking impairment due to Alzheimer’s or mild Alzheimer’s dementia, with confirmed amyloid, through specified studies or registries. A blood test and a drug treatment should be discussed as separate coverage questions. [12]</w:t>
      </w:r>
    </w:p>
    <w:p>
      <w:pPr>
        <w:pStyle w:val="Heading2"/>
      </w:pPr>
      <w:r>
        <w:rPr>
          <w:lang w:val="en-US"/>
        </w:rPr>
        <w:t>Anthem and other health plans</w:t>
      </w:r>
    </w:p>
    <w:p>
      <w:r>
        <w:rPr>
          <w:b w:val="0"/>
          <w:lang w:val="en-US"/>
        </w:rPr>
        <w:t>C2N announced that eligible Anthem Blue Cross and Blue Shield members would have coverage for PrecivityAD2 starting October 1, 2026. That date is still ahead of this report’s September 29 issue date. Coverage depends on the plan and its rules. [10]</w:t>
      </w:r>
    </w:p>
    <w:p>
      <w:r>
        <w:rPr>
          <w:b w:val="0"/>
          <w:lang w:val="en-US"/>
        </w:rPr>
        <w:t>The Anthem policy reviewed here requires measurable memory or thinking loss, a standard medical evaluation, and a result likely to guide care. Its blood-test criteria use age 50 or older. It excludes screening based only on family history in someone without symptoms. [9]</w:t>
      </w:r>
    </w:p>
    <w:p>
      <w:r>
        <w:rPr>
          <w:b w:val="0"/>
          <w:lang w:val="en-US"/>
        </w:rPr>
        <w:t>Do not assume that this Anthem policy applies to HMSA or any other Hawaiʻi insurer. Ask the plan directly. The test’s FDA age range and the plan’s coverage rules may differ.</w:t>
      </w:r>
    </w:p>
    <w:p>
      <w:pPr>
        <w:pStyle w:val="Heading2"/>
      </w:pPr>
      <w:r>
        <w:rPr>
          <w:lang w:val="en-US"/>
        </w:rPr>
        <w:t>Questions to ask before agreeing to a test</w:t>
      </w:r>
    </w:p>
    <w:p>
      <w:pPr>
        <w:pStyle w:val="ListBullet"/>
        <w:spacing w:after="100"/>
      </w:pPr>
      <w:r>
        <w:rPr>
          <w:lang w:val="en-US"/>
        </w:rPr>
        <w:t>Is this exact test covered for my symptoms and my age?</w:t>
      </w:r>
    </w:p>
    <w:p>
      <w:pPr>
        <w:pStyle w:val="ListBullet"/>
        <w:spacing w:after="100"/>
      </w:pPr>
      <w:r>
        <w:rPr>
          <w:lang w:val="en-US"/>
        </w:rPr>
        <w:t>Does the plan need to approve it before the blood draw?</w:t>
      </w:r>
    </w:p>
    <w:p>
      <w:pPr>
        <w:pStyle w:val="ListBullet"/>
        <w:spacing w:after="100"/>
      </w:pPr>
      <w:r>
        <w:rPr>
          <w:lang w:val="en-US"/>
        </w:rPr>
        <w:t>Is the lab in my plan’s network, and what might I owe?</w:t>
      </w:r>
    </w:p>
    <w:p>
      <w:pPr>
        <w:pStyle w:val="ListBullet"/>
        <w:spacing w:after="100"/>
      </w:pPr>
      <w:r>
        <w:rPr>
          <w:lang w:val="en-US"/>
        </w:rPr>
        <w:t>Who will explain the result, and what will the next step cost?</w:t>
      </w:r>
    </w:p>
    <w:p>
      <w:r>
        <w:rPr>
          <w:b w:val="0"/>
          <w:lang w:val="en-US"/>
        </w:rPr>
        <w:t>Price and coverage details can change quickly. This report does not give a fixed cash price or promise payment by any health plan.</w:t>
      </w:r>
    </w:p>
    <w:p>
      <w:pPr>
        <w:pStyle w:val="Heading1"/>
        <w:pageBreakBefore/>
      </w:pPr>
      <w:r>
        <w:rPr>
          <w:lang w:val="en-US"/>
        </w:rPr>
        <w:t>What Hawaiʻi should do next</w:t>
      </w:r>
    </w:p>
    <w:p>
      <w:r>
        <w:rPr>
          <w:b w:val="0"/>
          <w:lang w:val="en-US"/>
        </w:rPr>
        <w:t>For families who need to travel between islands for care, a local blood draw could ease part of the burden. That benefit depends on having a safe way to send the sample and a clinician who can explain the result. A test is useful when it leads to care.</w:t>
      </w:r>
    </w:p>
    <w:p>
      <w:r>
        <w:rPr>
          <w:b w:val="0"/>
          <w:lang w:val="en-US"/>
        </w:rPr>
        <w:t>I recommend the following steps. These are policy proposals, not claims that services or funding are already in place.</w:t>
      </w:r>
    </w:p>
    <w:p>
      <w:pPr>
        <w:pStyle w:val="Heading2"/>
      </w:pPr>
      <w:r>
        <w:rPr>
          <w:lang w:val="en-US"/>
        </w:rPr>
        <w:t>Build a complete path to care</w:t>
      </w:r>
    </w:p>
    <w:p>
      <w:pPr>
        <w:pStyle w:val="ListBullet"/>
        <w:spacing w:after="100"/>
      </w:pPr>
      <w:r>
        <w:rPr>
          <w:lang w:val="en-US"/>
        </w:rPr>
        <w:t>Train primary care teams to choose the right test and explain its limits.</w:t>
      </w:r>
    </w:p>
    <w:p>
      <w:pPr>
        <w:pStyle w:val="ListBullet"/>
        <w:spacing w:after="100"/>
      </w:pPr>
      <w:r>
        <w:rPr>
          <w:lang w:val="en-US"/>
        </w:rPr>
        <w:t>Make clear referral plans for positive, unclear, or conflicting results. Include telehealth when it fits the patient’s needs.</w:t>
      </w:r>
    </w:p>
    <w:p>
      <w:pPr>
        <w:pStyle w:val="ListBullet"/>
        <w:spacing w:after="100"/>
      </w:pPr>
      <w:r>
        <w:rPr>
          <w:lang w:val="en-US"/>
        </w:rPr>
        <w:t>Check sample pickup, shipping, and turnaround times on each island. Publish a list of labs and referral contacts once confirmed.</w:t>
      </w:r>
    </w:p>
    <w:p>
      <w:pPr>
        <w:pStyle w:val="ListBullet"/>
        <w:spacing w:after="100"/>
      </w:pPr>
      <w:r>
        <w:rPr>
          <w:lang w:val="en-US"/>
        </w:rPr>
        <w:t>Ask insurers to publish clear coverage rules and simple ways to appeal a denial.</w:t>
      </w:r>
    </w:p>
    <w:p>
      <w:pPr>
        <w:pStyle w:val="Heading2"/>
      </w:pPr>
      <w:r>
        <w:rPr>
          <w:lang w:val="en-US"/>
        </w:rPr>
        <w:t>Make the evidence fit our communities</w:t>
      </w:r>
    </w:p>
    <w:p>
      <w:r>
        <w:rPr>
          <w:b w:val="0"/>
          <w:lang w:val="en-US"/>
        </w:rPr>
        <w:t>Research should include enough Native Hawaiian, Pacific Islander, Asian, and other participants to give useful answers for Hawaiʻi. Small subgroups cannot support firm claims about how a test works for a whole community. [1–4]</w:t>
      </w:r>
    </w:p>
    <w:p>
      <w:r>
        <w:rPr>
          <w:b w:val="0"/>
          <w:lang w:val="en-US"/>
        </w:rPr>
        <w:t>The earlier report stressed a low result value in one racial subgroup. That number should not be treated as a rule about an individual’s race. Small samples, age, health conditions, and the chance of amyloid in each group can affect the result. We need stronger evidence, not broad assumptions.</w:t>
      </w:r>
    </w:p>
    <w:p>
      <w:pPr>
        <w:pStyle w:val="Heading2"/>
      </w:pPr>
      <w:r>
        <w:rPr>
          <w:lang w:val="en-US"/>
        </w:rPr>
        <w:t>Help families use the information</w:t>
      </w:r>
    </w:p>
    <w:p>
      <w:r>
        <w:rPr>
          <w:b w:val="0"/>
          <w:lang w:val="en-US"/>
        </w:rPr>
        <w:t>Give patients a plain-language summary and a follow-up appointment. Offer language support. Ask whether they want a family member or trusted person to join the discussion. Explain what the test says, what remains unknown, and what happens next.</w:t>
      </w:r>
    </w:p>
    <w:p>
      <w:pPr>
        <w:pStyle w:val="Heading2"/>
      </w:pPr>
      <w:r>
        <w:rPr>
          <w:lang w:val="en-US"/>
        </w:rPr>
        <w:t>Points for public discussion</w:t>
      </w:r>
    </w:p>
    <w:p>
      <w:pPr>
        <w:pStyle w:val="ListBullet"/>
        <w:spacing w:after="100"/>
      </w:pPr>
      <w:r>
        <w:rPr>
          <w:lang w:val="en-US"/>
        </w:rPr>
        <w:t>Four FDA-cleared blood tests can help assess Alzheimer’s-related brain changes in people with symptoms. They are not cures or general screening tests. [1–4]</w:t>
      </w:r>
    </w:p>
    <w:p>
      <w:pPr>
        <w:pStyle w:val="ListBullet"/>
        <w:spacing w:after="100"/>
      </w:pPr>
      <w:r>
        <w:rPr>
          <w:lang w:val="en-US"/>
        </w:rPr>
        <w:t>A positive blood result needs a clinical explanation. Families should not have to interpret a frightening lab report on their own.</w:t>
      </w:r>
    </w:p>
    <w:p>
      <w:pPr>
        <w:pStyle w:val="ListBullet"/>
        <w:spacing w:after="100"/>
      </w:pPr>
      <w:r>
        <w:rPr>
          <w:lang w:val="en-US"/>
        </w:rPr>
        <w:t>In Hawaiʻi, better access should include follow-up care, clear costs, and help for people who must travel between islands.</w:t>
      </w:r>
    </w:p>
    <w:p>
      <w:pPr>
        <w:pStyle w:val="Heading1"/>
        <w:pageBreakBefore/>
      </w:pPr>
      <w:r>
        <w:rPr>
          <w:lang w:val="en-US"/>
        </w:rPr>
        <w:t>Version history and key terms</w:t>
      </w:r>
    </w:p>
    <w:p>
      <w:pPr>
        <w:pStyle w:val="Heading2"/>
      </w:pPr>
      <w:r>
        <w:rPr>
          <w:lang w:val="en-US"/>
        </w:rPr>
        <w:t>Version control</w:t>
      </w:r>
    </w:p>
    <w:tbl>
      <w:tblPr>
        <w:tblW w:type="auto" w:w="0"/>
        <w:jc w:val="center"/>
        <w:tblLayout w:type="fixed"/>
        <w:tblLook w:firstColumn="1" w:firstRow="1" w:lastColumn="0" w:lastRow="0" w:noHBand="0" w:noVBand="1" w:val="04A0"/>
      </w:tblPr>
      <w:tblGrid>
        <w:gridCol w:w="936"/>
        <w:gridCol w:w="2376"/>
        <w:gridCol w:w="6624"/>
      </w:tblGrid>
      <w:tr>
        <w:trPr>
          <w:cantSplit/>
          <w:tblHeader/>
        </w:trPr>
        <w:tc>
          <w:tcPr>
            <w:tcW w:type="dxa" w:w="936"/>
            <w:vAlign w:val="center"/>
            <w:shd w:fill="24465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jc w:val="center"/>
            </w:pPr>
            <w:r>
              <w:rPr>
                <w:b/>
                <w:color w:val="FFFFFF"/>
                <w:sz w:val="22"/>
              </w:rPr>
              <w:t>Version</w:t>
            </w:r>
          </w:p>
        </w:tc>
        <w:tc>
          <w:tcPr>
            <w:tcW w:type="dxa" w:w="2376"/>
            <w:vAlign w:val="center"/>
            <w:shd w:fill="24465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color w:val="FFFFFF"/>
                <w:sz w:val="22"/>
              </w:rPr>
              <w:t>Date</w:t>
            </w:r>
          </w:p>
        </w:tc>
        <w:tc>
          <w:tcPr>
            <w:tcW w:type="dxa" w:w="6624"/>
            <w:vAlign w:val="center"/>
            <w:shd w:fill="24465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color w:val="FFFFFF"/>
                <w:sz w:val="22"/>
              </w:rPr>
              <w:t>Record of changes</w:t>
            </w:r>
          </w:p>
        </w:tc>
      </w:tr>
      <w:tr>
        <w:trPr>
          <w:cantSplit/>
        </w:trPr>
        <w:tc>
          <w:tcPr>
            <w:tcW w:type="dxa" w:w="936"/>
            <w:vAlign w:val="center"/>
            <w:shd w:fill="F1F5F7"/>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jc w:val="center"/>
            </w:pPr>
            <w:r>
              <w:rPr>
                <w:b w:val="0"/>
                <w:color w:val="000000"/>
                <w:sz w:val="22"/>
              </w:rPr>
              <w:t>1</w:t>
            </w:r>
          </w:p>
        </w:tc>
        <w:tc>
          <w:tcPr>
            <w:tcW w:type="dxa" w:w="2376"/>
            <w:vAlign w:val="center"/>
            <w:shd w:fill="F1F5F7"/>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val="0"/>
                <w:color w:val="000000"/>
                <w:sz w:val="22"/>
              </w:rPr>
              <w:t>September 2, 2026</w:t>
            </w:r>
          </w:p>
        </w:tc>
        <w:tc>
          <w:tcPr>
            <w:tcW w:type="dxa" w:w="6624"/>
            <w:vAlign w:val="center"/>
            <w:shd w:fill="F1F5F7"/>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val="0"/>
                <w:color w:val="000000"/>
                <w:sz w:val="22"/>
              </w:rPr>
              <w:t>Original cover date. Assigned Version 1 for this record. The supplied filename begins with September 9, 2026.</w:t>
            </w:r>
          </w:p>
        </w:tc>
      </w:tr>
      <w:tr>
        <w:trPr>
          <w:cantSplit/>
        </w:trPr>
        <w:tc>
          <w:tcPr>
            <w:tcW w:type="dxa" w:w="936"/>
            <w:vAlign w:val="center"/>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jc w:val="center"/>
            </w:pPr>
            <w:r>
              <w:rPr>
                <w:b w:val="0"/>
                <w:color w:val="000000"/>
                <w:sz w:val="22"/>
              </w:rPr>
              <w:t>2</w:t>
            </w:r>
          </w:p>
        </w:tc>
        <w:tc>
          <w:tcPr>
            <w:tcW w:type="dxa" w:w="2376"/>
            <w:vAlign w:val="center"/>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val="0"/>
                <w:color w:val="000000"/>
                <w:sz w:val="22"/>
              </w:rPr>
              <w:t>September 29, 2026</w:t>
            </w:r>
          </w:p>
        </w:tc>
        <w:tc>
          <w:tcPr>
            <w:tcW w:type="dxa" w:w="6624"/>
            <w:vAlign w:val="center"/>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val="0"/>
                <w:color w:val="000000"/>
                <w:sz w:val="22"/>
              </w:rPr>
              <w:t>Plain-language rewrite. Updated FDA dates, record numbers, test results, recall status, access notes, and coverage details. Added this version history.</w:t>
            </w:r>
          </w:p>
        </w:tc>
      </w:tr>
      <w:tr>
        <w:trPr>
          <w:cantSplit/>
        </w:trPr>
        <w:tc>
          <w:tcPr>
            <w:tcW w:type="dxa" w:w="936"/>
            <w:vAlign w:val="center"/>
            <w:shd w:fill="F1F5F7"/>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jc w:val="center"/>
            </w:pPr>
            <w:r>
              <w:rPr>
                <w:b w:val="0"/>
                <w:color w:val="000000"/>
                <w:sz w:val="22"/>
              </w:rPr>
              <w:t>3</w:t>
            </w:r>
          </w:p>
        </w:tc>
        <w:tc>
          <w:tcPr>
            <w:tcW w:type="dxa" w:w="2376"/>
            <w:vAlign w:val="center"/>
            <w:shd w:fill="F1F5F7"/>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val="0"/>
                <w:color w:val="000000"/>
                <w:sz w:val="22"/>
              </w:rPr>
              <w:t>September 29, 2026</w:t>
            </w:r>
          </w:p>
        </w:tc>
        <w:tc>
          <w:tcPr>
            <w:tcW w:type="dxa" w:w="6624"/>
            <w:vAlign w:val="center"/>
            <w:shd w:fill="F1F5F7"/>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val="0"/>
                <w:color w:val="000000"/>
                <w:sz w:val="22"/>
              </w:rPr>
              <w:t>Added FDA clearance, approval, emergency use, risk classes, and related terms. Added sources 16–23. Other content retained from Version 2.</w:t>
            </w:r>
          </w:p>
        </w:tc>
      </w:tr>
    </w:tbl>
    <w:p>
      <w:pPr>
        <w:spacing w:after="0" w:line="100" w:lineRule="exact"/>
      </w:pPr>
      <w:r>
        <w:rPr>
          <w:sz w:val="2"/>
          <w:lang w:val="en-US"/>
        </w:rPr>
      </w:r>
    </w:p>
    <w:p>
      <w:r>
        <w:rPr>
          <w:b w:val="0"/>
          <w:sz w:val="21"/>
          <w:lang w:val="en-US"/>
        </w:rPr>
        <w:t>Version 3 replaces Version 2 for current use. Each new edition should show its version and issue date on the cover, in the footer, and in this table.</w:t>
      </w:r>
    </w:p>
    <w:p>
      <w:pPr>
        <w:pStyle w:val="Heading2"/>
      </w:pPr>
      <w:r>
        <w:rPr>
          <w:lang w:val="en-US"/>
        </w:rPr>
        <w:t>Key corrections in Version 2</w:t>
      </w:r>
    </w:p>
    <w:p>
      <w:pPr>
        <w:pStyle w:val="ListBullet"/>
        <w:spacing w:after="100"/>
      </w:pPr>
      <w:r>
        <w:rPr>
          <w:lang w:val="en-US"/>
        </w:rPr>
        <w:t>Both newer tests were cleared on August 19, 2026. Their later news dates are listed separately.</w:t>
      </w:r>
    </w:p>
    <w:p>
      <w:pPr>
        <w:pStyle w:val="ListBullet"/>
        <w:spacing w:after="100"/>
      </w:pPr>
      <w:r>
        <w:rPr>
          <w:lang w:val="en-US"/>
        </w:rPr>
        <w:t>PrecivityAD2’s middle result group is called “likely positive.” It is not labeled “indeterminate.”</w:t>
      </w:r>
    </w:p>
    <w:p>
      <w:pPr>
        <w:pStyle w:val="ListBullet"/>
        <w:spacing w:after="100"/>
      </w:pPr>
      <w:r>
        <w:rPr>
          <w:lang w:val="en-US"/>
        </w:rPr>
        <w:t>Elecsys pTau217 now has published FDA study results, including results by care setting.</w:t>
      </w:r>
    </w:p>
    <w:p>
      <w:pPr>
        <w:pStyle w:val="ListBullet"/>
        <w:spacing w:after="100"/>
      </w:pPr>
      <w:r>
        <w:rPr>
          <w:lang w:val="en-US"/>
        </w:rPr>
        <w:t>The text separates FDA clearance from the test version a lab offers and the rules an insurer uses.</w:t>
      </w:r>
    </w:p>
    <w:p>
      <w:pPr>
        <w:pStyle w:val="Heading2"/>
      </w:pPr>
      <w:r>
        <w:rPr>
          <w:lang w:val="en-US"/>
        </w:rPr>
        <w:t>Terms used in the report</w:t>
      </w:r>
    </w:p>
    <w:tbl>
      <w:tblPr>
        <w:tblW w:type="auto" w:w="0"/>
        <w:jc w:val="center"/>
        <w:tblLayout w:type="fixed"/>
        <w:tblLook w:firstColumn="1" w:firstRow="1" w:lastColumn="0" w:lastRow="0" w:noHBand="0" w:noVBand="1" w:val="04A0"/>
      </w:tblPr>
      <w:tblGrid>
        <w:gridCol w:w="2520"/>
        <w:gridCol w:w="7416"/>
      </w:tblGrid>
      <w:tr>
        <w:trPr>
          <w:cantSplit/>
          <w:tblHeader/>
        </w:trPr>
        <w:tc>
          <w:tcPr>
            <w:tcW w:type="dxa" w:w="2520"/>
            <w:vAlign w:val="center"/>
            <w:shd w:fill="24465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color w:val="FFFFFF"/>
                <w:sz w:val="22"/>
              </w:rPr>
              <w:t>Term</w:t>
            </w:r>
          </w:p>
        </w:tc>
        <w:tc>
          <w:tcPr>
            <w:tcW w:type="dxa" w:w="7416"/>
            <w:vAlign w:val="center"/>
            <w:shd w:fill="24465B"/>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color w:val="FFFFFF"/>
                <w:sz w:val="22"/>
              </w:rPr>
              <w:t>Plain meaning</w:t>
            </w:r>
          </w:p>
        </w:tc>
      </w:tr>
      <w:tr>
        <w:trPr>
          <w:cantSplit/>
        </w:trPr>
        <w:tc>
          <w:tcPr>
            <w:tcW w:type="dxa" w:w="2520"/>
            <w:vAlign w:val="center"/>
            <w:shd w:fill="F1F5F7"/>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val="0"/>
                <w:color w:val="000000"/>
                <w:sz w:val="22"/>
              </w:rPr>
              <w:t>Amyloid pathology</w:t>
            </w:r>
          </w:p>
        </w:tc>
        <w:tc>
          <w:tcPr>
            <w:tcW w:type="dxa" w:w="7416"/>
            <w:vAlign w:val="center"/>
            <w:shd w:fill="F1F5F7"/>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val="0"/>
                <w:color w:val="000000"/>
                <w:sz w:val="22"/>
              </w:rPr>
              <w:t>Amyloid protein changes or buildup linked to Alzheimer’s disease.</w:t>
            </w:r>
          </w:p>
        </w:tc>
      </w:tr>
      <w:tr>
        <w:trPr>
          <w:cantSplit/>
        </w:trPr>
        <w:tc>
          <w:tcPr>
            <w:tcW w:type="dxa" w:w="2520"/>
            <w:vAlign w:val="center"/>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val="0"/>
                <w:color w:val="000000"/>
                <w:sz w:val="22"/>
              </w:rPr>
              <w:t>Biomarker</w:t>
            </w:r>
          </w:p>
        </w:tc>
        <w:tc>
          <w:tcPr>
            <w:tcW w:type="dxa" w:w="7416"/>
            <w:vAlign w:val="center"/>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val="0"/>
                <w:color w:val="000000"/>
                <w:sz w:val="22"/>
              </w:rPr>
              <w:t>A measurable sign of what is happening in the body.</w:t>
            </w:r>
          </w:p>
        </w:tc>
      </w:tr>
      <w:tr>
        <w:trPr>
          <w:cantSplit/>
        </w:trPr>
        <w:tc>
          <w:tcPr>
            <w:tcW w:type="dxa" w:w="2520"/>
            <w:vAlign w:val="center"/>
            <w:shd w:fill="F1F5F7"/>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val="0"/>
                <w:color w:val="000000"/>
                <w:sz w:val="22"/>
              </w:rPr>
              <w:t>Cognitive decline</w:t>
            </w:r>
          </w:p>
        </w:tc>
        <w:tc>
          <w:tcPr>
            <w:tcW w:type="dxa" w:w="7416"/>
            <w:vAlign w:val="center"/>
            <w:shd w:fill="F1F5F7"/>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val="0"/>
                <w:color w:val="000000"/>
                <w:sz w:val="22"/>
              </w:rPr>
              <w:t>A decline in memory or thinking skills.</w:t>
            </w:r>
          </w:p>
        </w:tc>
      </w:tr>
      <w:tr>
        <w:trPr>
          <w:cantSplit/>
        </w:trPr>
        <w:tc>
          <w:tcPr>
            <w:tcW w:type="dxa" w:w="2520"/>
            <w:vAlign w:val="center"/>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val="0"/>
                <w:color w:val="000000"/>
                <w:sz w:val="22"/>
              </w:rPr>
              <w:t>Dementia</w:t>
            </w:r>
          </w:p>
        </w:tc>
        <w:tc>
          <w:tcPr>
            <w:tcW w:type="dxa" w:w="7416"/>
            <w:vAlign w:val="center"/>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val="0"/>
                <w:color w:val="000000"/>
                <w:sz w:val="22"/>
              </w:rPr>
              <w:t>Problems with thinking that interfere with daily life.</w:t>
            </w:r>
          </w:p>
        </w:tc>
      </w:tr>
      <w:tr>
        <w:trPr>
          <w:cantSplit/>
        </w:trPr>
        <w:tc>
          <w:tcPr>
            <w:tcW w:type="dxa" w:w="2520"/>
            <w:vAlign w:val="center"/>
            <w:shd w:fill="F1F5F7"/>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val="0"/>
                <w:color w:val="000000"/>
                <w:sz w:val="22"/>
              </w:rPr>
              <w:t>PPV</w:t>
            </w:r>
          </w:p>
        </w:tc>
        <w:tc>
          <w:tcPr>
            <w:tcW w:type="dxa" w:w="7416"/>
            <w:vAlign w:val="center"/>
            <w:shd w:fill="F1F5F7"/>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val="0"/>
                <w:color w:val="000000"/>
                <w:sz w:val="22"/>
              </w:rPr>
              <w:t>Among positive results, the share that match a positive comparison test.</w:t>
            </w:r>
          </w:p>
        </w:tc>
      </w:tr>
      <w:tr>
        <w:trPr>
          <w:cantSplit/>
        </w:trPr>
        <w:tc>
          <w:tcPr>
            <w:tcW w:type="dxa" w:w="2520"/>
            <w:vAlign w:val="center"/>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val="0"/>
                <w:color w:val="000000"/>
                <w:sz w:val="22"/>
              </w:rPr>
              <w:t>NPV</w:t>
            </w:r>
          </w:p>
        </w:tc>
        <w:tc>
          <w:tcPr>
            <w:tcW w:type="dxa" w:w="7416"/>
            <w:vAlign w:val="center"/>
            <w:shd w:fill="FFFFFF"/>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val="0"/>
                <w:color w:val="000000"/>
                <w:sz w:val="22"/>
              </w:rPr>
              <w:t>Among negative results, the share that match a negative comparison test.</w:t>
            </w:r>
          </w:p>
        </w:tc>
      </w:tr>
      <w:tr>
        <w:trPr>
          <w:cantSplit/>
        </w:trPr>
        <w:tc>
          <w:tcPr>
            <w:tcW w:type="dxa" w:w="2520"/>
            <w:vAlign w:val="center"/>
            <w:shd w:fill="F1F5F7"/>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val="0"/>
                <w:color w:val="000000"/>
                <w:sz w:val="22"/>
              </w:rPr>
              <w:t>Indeterminate</w:t>
            </w:r>
          </w:p>
        </w:tc>
        <w:tc>
          <w:tcPr>
            <w:tcW w:type="dxa" w:w="7416"/>
            <w:vAlign w:val="center"/>
            <w:shd w:fill="F1F5F7"/>
            <w:tcMar>
              <w:top w:w="100" w:type="dxa"/>
              <w:left w:w="100" w:type="dxa"/>
              <w:bottom w:w="100" w:type="dxa"/>
              <w:right w:w="100" w:type="dxa"/>
            </w:tcMar>
            <w:tcBorders>
              <w:top w:val="single" w:sz="4" w:color="D9D9D9"/>
              <w:left w:val="single" w:sz="4" w:color="D9D9D9"/>
              <w:bottom w:val="single" w:sz="4" w:color="D9D9D9"/>
              <w:right w:val="single" w:sz="4" w:color="D9D9D9"/>
            </w:tcBorders>
          </w:tcPr>
          <w:p>
            <w:pPr>
              <w:spacing w:after="0" w:line="252" w:lineRule="auto"/>
            </w:pPr>
            <w:r>
              <w:rPr>
                <w:b w:val="0"/>
                <w:color w:val="000000"/>
                <w:sz w:val="22"/>
              </w:rPr>
              <w:t>An unclear result that needs more review or testing.</w:t>
            </w:r>
          </w:p>
        </w:tc>
      </w:tr>
    </w:tbl>
    <w:p>
      <w:pPr>
        <w:spacing w:after="0" w:line="100" w:lineRule="exact"/>
      </w:pPr>
      <w:r>
        <w:rPr>
          <w:sz w:val="2"/>
          <w:lang w:val="en-US"/>
        </w:rPr>
      </w:r>
    </w:p>
    <w:p>
      <w:pPr>
        <w:pStyle w:val="Heading1"/>
        <w:pageBreakBefore/>
      </w:pPr>
      <w:r>
        <w:rPr>
          <w:lang w:val="en-US"/>
        </w:rPr>
        <w:t>Medical and test sources</w:t>
      </w:r>
    </w:p>
    <w:p>
      <w:r>
        <w:rPr>
          <w:b w:val="0"/>
          <w:sz w:val="21"/>
          <w:lang w:val="en-US"/>
        </w:rPr>
        <w:t>Sources 1–15 were reviewed for Version 2 dated September 29, 2026 and retained in Version 3. Added FDA guidance appears in sources 16–23. Bracketed numbers point to these sources; the links open the records.</w:t>
      </w:r>
    </w:p>
    <w:p>
      <w:pPr>
        <w:spacing w:after="80"/>
      </w:pPr>
      <w:r>
        <w:rPr>
          <w:b/>
          <w:sz w:val="22"/>
          <w:lang w:val="en-US"/>
        </w:rPr>
        <w:t>1. FDA Lumipulse record K242706</w:t>
      </w:r>
    </w:p>
    <w:p>
      <w:pPr>
        <w:spacing w:after="60"/>
      </w:pPr>
      <w:r>
        <w:rPr>
          <w:sz w:val="21"/>
          <w:lang w:val="en-US"/>
        </w:rPr>
        <w:t>Decision May 16, 2025. Cleared use, age range, and study results; see clinical performance tables.</w:t>
      </w:r>
    </w:p>
    <w:p>
      <w:pPr>
        <w:spacing w:after="220"/>
      </w:pPr>
      <w:hyperlink r:id="rId10">
        <w:r>
          <w:rPr>
            <w:color w:val="1C536B"/>
            <w:sz w:val="21"/>
            <w:u w:val="single"/>
          </w:rPr>
          <w:t>FDA decision summary</w:t>
        </w:r>
      </w:hyperlink>
    </w:p>
    <w:p>
      <w:pPr>
        <w:spacing w:after="80"/>
      </w:pPr>
      <w:r>
        <w:rPr>
          <w:b/>
          <w:sz w:val="22"/>
          <w:lang w:val="en-US"/>
        </w:rPr>
        <w:t>2. FDA Elecsys pTau181 record K252163</w:t>
      </w:r>
    </w:p>
    <w:p>
      <w:pPr>
        <w:spacing w:after="60"/>
      </w:pPr>
      <w:r>
        <w:rPr>
          <w:sz w:val="21"/>
          <w:lang w:val="en-US"/>
        </w:rPr>
        <w:t>Decision October 8, 2025. Cleared use and 312-person study; decision summary pages 26–31.</w:t>
      </w:r>
    </w:p>
    <w:p>
      <w:pPr>
        <w:spacing w:after="220"/>
      </w:pPr>
      <w:hyperlink r:id="rId11">
        <w:r>
          <w:rPr>
            <w:color w:val="1C536B"/>
            <w:sz w:val="21"/>
            <w:u w:val="single"/>
          </w:rPr>
          <w:t>FDA record</w:t>
        </w:r>
      </w:hyperlink>
      <w:r>
        <w:rPr>
          <w:sz w:val="21"/>
          <w:lang w:val="en-US"/>
        </w:rPr>
        <w:t xml:space="preserve">  |  </w:t>
      </w:r>
      <w:hyperlink r:id="rId12">
        <w:r>
          <w:rPr>
            <w:color w:val="1C536B"/>
            <w:sz w:val="21"/>
            <w:u w:val="single"/>
          </w:rPr>
          <w:t>Study and labeling</w:t>
        </w:r>
      </w:hyperlink>
    </w:p>
    <w:p>
      <w:pPr>
        <w:spacing w:after="80"/>
      </w:pPr>
      <w:r>
        <w:rPr>
          <w:b/>
          <w:sz w:val="22"/>
          <w:lang w:val="en-US"/>
        </w:rPr>
        <w:t>3. FDA PrecivityAD2 record K253240</w:t>
      </w:r>
    </w:p>
    <w:p>
      <w:pPr>
        <w:spacing w:after="60"/>
      </w:pPr>
      <w:r>
        <w:rPr>
          <w:sz w:val="21"/>
          <w:lang w:val="en-US"/>
        </w:rPr>
        <w:t>Decision August 19, 2026. Cleared age 40 and older; 1,142-person study and three result groups.</w:t>
      </w:r>
    </w:p>
    <w:p>
      <w:pPr>
        <w:spacing w:after="220"/>
      </w:pPr>
      <w:hyperlink r:id="rId13">
        <w:r>
          <w:rPr>
            <w:color w:val="1C536B"/>
            <w:sz w:val="21"/>
            <w:u w:val="single"/>
          </w:rPr>
          <w:t>FDA record</w:t>
        </w:r>
      </w:hyperlink>
      <w:r>
        <w:rPr>
          <w:sz w:val="21"/>
          <w:lang w:val="en-US"/>
        </w:rPr>
        <w:t xml:space="preserve">  |  </w:t>
      </w:r>
      <w:hyperlink r:id="rId14">
        <w:r>
          <w:rPr>
            <w:color w:val="1C536B"/>
            <w:sz w:val="21"/>
            <w:u w:val="single"/>
          </w:rPr>
          <w:t>Study and labeling</w:t>
        </w:r>
      </w:hyperlink>
    </w:p>
    <w:p>
      <w:pPr>
        <w:spacing w:after="80"/>
      </w:pPr>
      <w:r>
        <w:rPr>
          <w:b/>
          <w:sz w:val="22"/>
          <w:lang w:val="en-US"/>
        </w:rPr>
        <w:t>4. FDA Elecsys pTau217 record K261686</w:t>
      </w:r>
    </w:p>
    <w:p>
      <w:pPr>
        <w:spacing w:after="60"/>
      </w:pPr>
      <w:r>
        <w:rPr>
          <w:sz w:val="21"/>
          <w:lang w:val="en-US"/>
        </w:rPr>
        <w:t>Decision August 19, 2026. Cleared use and 958-person study; PDF pages 19–20 show overall and care-setting results.</w:t>
      </w:r>
    </w:p>
    <w:p>
      <w:pPr>
        <w:spacing w:after="220"/>
      </w:pPr>
      <w:hyperlink r:id="rId15">
        <w:r>
          <w:rPr>
            <w:color w:val="1C536B"/>
            <w:sz w:val="21"/>
            <w:u w:val="single"/>
          </w:rPr>
          <w:t>FDA record</w:t>
        </w:r>
      </w:hyperlink>
      <w:r>
        <w:rPr>
          <w:sz w:val="21"/>
          <w:lang w:val="en-US"/>
        </w:rPr>
        <w:t xml:space="preserve">  |  </w:t>
      </w:r>
      <w:hyperlink r:id="rId16">
        <w:r>
          <w:rPr>
            <w:color w:val="1C536B"/>
            <w:sz w:val="21"/>
            <w:u w:val="single"/>
          </w:rPr>
          <w:t>Study and labeling</w:t>
        </w:r>
      </w:hyperlink>
    </w:p>
    <w:p>
      <w:pPr>
        <w:spacing w:after="80"/>
      </w:pPr>
      <w:r>
        <w:rPr>
          <w:b/>
          <w:sz w:val="22"/>
          <w:lang w:val="en-US"/>
        </w:rPr>
        <w:t>5. FDA Lumipulse recall event 98232</w:t>
      </w:r>
    </w:p>
    <w:p>
      <w:pPr>
        <w:spacing w:after="60"/>
      </w:pPr>
      <w:r>
        <w:rPr>
          <w:sz w:val="21"/>
          <w:lang w:val="en-US"/>
        </w:rPr>
        <w:t>Affected pTau217 and amyloid cartridges. Records Z-1302-2026 and Z-1305-2026 remained open when reviewed.</w:t>
      </w:r>
    </w:p>
    <w:p>
      <w:pPr>
        <w:spacing w:after="220"/>
      </w:pPr>
      <w:hyperlink r:id="rId17">
        <w:r>
          <w:rPr>
            <w:color w:val="1C536B"/>
            <w:sz w:val="21"/>
            <w:u w:val="single"/>
          </w:rPr>
          <w:t>pTau217 cartridge recall</w:t>
        </w:r>
      </w:hyperlink>
      <w:r>
        <w:rPr>
          <w:sz w:val="21"/>
          <w:lang w:val="en-US"/>
        </w:rPr>
        <w:t xml:space="preserve">  |  </w:t>
      </w:r>
      <w:hyperlink r:id="rId18">
        <w:r>
          <w:rPr>
            <w:color w:val="1C536B"/>
            <w:sz w:val="21"/>
            <w:u w:val="single"/>
          </w:rPr>
          <w:t>Amyloid cartridge recall</w:t>
        </w:r>
      </w:hyperlink>
    </w:p>
    <w:p>
      <w:pPr>
        <w:spacing w:after="80"/>
      </w:pPr>
      <w:r>
        <w:rPr>
          <w:b/>
          <w:sz w:val="22"/>
          <w:lang w:val="en-US"/>
        </w:rPr>
        <w:t>6. Alzheimer’s Association clinical practice guideline</w:t>
      </w:r>
    </w:p>
    <w:p>
      <w:pPr>
        <w:spacing w:after="60"/>
      </w:pPr>
      <w:r>
        <w:rPr>
          <w:sz w:val="21"/>
          <w:lang w:val="en-US"/>
        </w:rPr>
        <w:t>Palmqvist and colleagues, 2025. Blood biomarkers in specialty care. DOI 10.1002/alz.70535.</w:t>
      </w:r>
    </w:p>
    <w:p>
      <w:pPr>
        <w:spacing w:after="220"/>
      </w:pPr>
      <w:hyperlink r:id="rId19">
        <w:r>
          <w:rPr>
            <w:color w:val="1C536B"/>
            <w:sz w:val="21"/>
            <w:u w:val="single"/>
          </w:rPr>
          <w:t>Published guideline</w:t>
        </w:r>
      </w:hyperlink>
      <w:r>
        <w:rPr>
          <w:sz w:val="21"/>
          <w:lang w:val="en-US"/>
        </w:rPr>
        <w:t xml:space="preserve">  |  </w:t>
      </w:r>
      <w:hyperlink r:id="rId20">
        <w:r>
          <w:rPr>
            <w:color w:val="1C536B"/>
            <w:sz w:val="21"/>
            <w:u w:val="single"/>
          </w:rPr>
          <w:t>Association explanation</w:t>
        </w:r>
      </w:hyperlink>
    </w:p>
    <w:p>
      <w:pPr>
        <w:spacing w:after="80"/>
      </w:pPr>
      <w:r>
        <w:rPr>
          <w:b/>
          <w:sz w:val="22"/>
          <w:lang w:val="en-US"/>
        </w:rPr>
        <w:t>7. Roche clearance announcement</w:t>
      </w:r>
    </w:p>
    <w:p>
      <w:pPr>
        <w:spacing w:after="60"/>
      </w:pPr>
      <w:r>
        <w:rPr>
          <w:sz w:val="21"/>
          <w:lang w:val="en-US"/>
        </w:rPr>
        <w:t>August 24, 2026. Elecsys pTau217 use across primary and specialty care and existing lab equipment.</w:t>
      </w:r>
    </w:p>
    <w:p>
      <w:pPr>
        <w:spacing w:after="220"/>
      </w:pPr>
      <w:hyperlink r:id="rId21">
        <w:r>
          <w:rPr>
            <w:color w:val="1C536B"/>
            <w:sz w:val="21"/>
            <w:u w:val="single"/>
          </w:rPr>
          <w:t>Roche announcement</w:t>
        </w:r>
      </w:hyperlink>
    </w:p>
    <w:p>
      <w:pPr>
        <w:spacing w:after="80"/>
      </w:pPr>
      <w:r>
        <w:rPr>
          <w:b/>
          <w:sz w:val="22"/>
          <w:lang w:val="en-US"/>
        </w:rPr>
        <w:t>8. C2N clearance announcement</w:t>
      </w:r>
    </w:p>
    <w:p>
      <w:pPr>
        <w:spacing w:after="60"/>
      </w:pPr>
      <w:r>
        <w:rPr>
          <w:sz w:val="21"/>
          <w:lang w:val="en-US"/>
        </w:rPr>
        <w:t>August 20, 2026. Cleared use and planned availability of the FDA-cleared test version.</w:t>
      </w:r>
    </w:p>
    <w:p>
      <w:pPr>
        <w:spacing w:after="220"/>
      </w:pPr>
      <w:hyperlink r:id="rId22">
        <w:r>
          <w:rPr>
            <w:color w:val="1C536B"/>
            <w:sz w:val="21"/>
            <w:u w:val="single"/>
          </w:rPr>
          <w:t>C2N announcement</w:t>
        </w:r>
      </w:hyperlink>
    </w:p>
    <w:p>
      <w:pPr>
        <w:pStyle w:val="Heading1"/>
        <w:pageBreakBefore/>
      </w:pPr>
      <w:r>
        <w:rPr>
          <w:lang w:val="en-US"/>
        </w:rPr>
        <w:t>Coverage and family sources</w:t>
      </w:r>
    </w:p>
    <w:p>
      <w:pPr>
        <w:spacing w:after="80"/>
      </w:pPr>
      <w:r>
        <w:rPr>
          <w:b/>
          <w:sz w:val="22"/>
          <w:lang w:val="en-US"/>
        </w:rPr>
        <w:t>9. Anthem medical policy LAB00046</w:t>
      </w:r>
    </w:p>
    <w:p>
      <w:pPr>
        <w:spacing w:after="60"/>
      </w:pPr>
      <w:r>
        <w:rPr>
          <w:sz w:val="21"/>
          <w:lang w:val="en-US"/>
        </w:rPr>
        <w:t>Testing for Biochemical Markers for Alzheimer Disease. Published July 1, 2026. Includes age and medical-need rules.</w:t>
      </w:r>
    </w:p>
    <w:p>
      <w:pPr>
        <w:spacing w:after="220"/>
      </w:pPr>
      <w:hyperlink r:id="rId23">
        <w:r>
          <w:rPr>
            <w:color w:val="1C536B"/>
            <w:sz w:val="21"/>
            <w:u w:val="single"/>
          </w:rPr>
          <w:t>Anthem policy LAB.00046</w:t>
        </w:r>
      </w:hyperlink>
    </w:p>
    <w:p>
      <w:pPr>
        <w:spacing w:after="80"/>
      </w:pPr>
      <w:r>
        <w:rPr>
          <w:b/>
          <w:sz w:val="22"/>
          <w:lang w:val="en-US"/>
        </w:rPr>
        <w:t>10. C2N Anthem coverage announcement</w:t>
      </w:r>
    </w:p>
    <w:p>
      <w:pPr>
        <w:spacing w:after="60"/>
      </w:pPr>
      <w:r>
        <w:rPr>
          <w:sz w:val="21"/>
          <w:lang w:val="en-US"/>
        </w:rPr>
        <w:t>July 9, 2026. Announces coverage for eligible Anthem members starting October 1, 2026.</w:t>
      </w:r>
    </w:p>
    <w:p>
      <w:pPr>
        <w:spacing w:after="220"/>
      </w:pPr>
      <w:hyperlink r:id="rId24">
        <w:r>
          <w:rPr>
            <w:color w:val="1C536B"/>
            <w:sz w:val="21"/>
            <w:u w:val="single"/>
          </w:rPr>
          <w:t>C2N coverage announcement</w:t>
        </w:r>
      </w:hyperlink>
    </w:p>
    <w:p>
      <w:pPr>
        <w:spacing w:after="80"/>
      </w:pPr>
      <w:r>
        <w:rPr>
          <w:b/>
          <w:sz w:val="22"/>
          <w:lang w:val="en-US"/>
        </w:rPr>
        <w:t>11. CMS amyloid PET policy</w:t>
      </w:r>
    </w:p>
    <w:p>
      <w:pPr>
        <w:spacing w:after="60"/>
      </w:pPr>
      <w:r>
        <w:rPr>
          <w:sz w:val="21"/>
          <w:lang w:val="en-US"/>
        </w:rPr>
        <w:t>National Coverage Determination 220.6.20 was retired effective October 13, 2023. Regional contractors make coverage decisions.</w:t>
      </w:r>
    </w:p>
    <w:p>
      <w:pPr>
        <w:spacing w:after="220"/>
      </w:pPr>
      <w:hyperlink r:id="rId25">
        <w:r>
          <w:rPr>
            <w:color w:val="1C536B"/>
            <w:sz w:val="21"/>
            <w:u w:val="single"/>
          </w:rPr>
          <w:t>CMS policy record</w:t>
        </w:r>
      </w:hyperlink>
    </w:p>
    <w:p>
      <w:pPr>
        <w:spacing w:after="80"/>
      </w:pPr>
      <w:r>
        <w:rPr>
          <w:b/>
          <w:sz w:val="22"/>
          <w:lang w:val="en-US"/>
        </w:rPr>
        <w:t>12. CMS amyloid antibody treatment policy</w:t>
      </w:r>
    </w:p>
    <w:p>
      <w:pPr>
        <w:spacing w:after="60"/>
      </w:pPr>
      <w:r>
        <w:rPr>
          <w:sz w:val="21"/>
          <w:lang w:val="en-US"/>
        </w:rPr>
        <w:t>National Coverage Determination 200.3. Coverage requirements for mild cognitive impairment or mild dementia due to Alzheimer’s, with confirmed amyloid.</w:t>
      </w:r>
    </w:p>
    <w:p>
      <w:pPr>
        <w:spacing w:after="220"/>
      </w:pPr>
      <w:hyperlink r:id="rId26">
        <w:r>
          <w:rPr>
            <w:color w:val="1C536B"/>
            <w:sz w:val="21"/>
            <w:u w:val="single"/>
          </w:rPr>
          <w:t>CMS treatment policy</w:t>
        </w:r>
      </w:hyperlink>
    </w:p>
    <w:p>
      <w:pPr>
        <w:spacing w:after="80"/>
      </w:pPr>
      <w:r>
        <w:rPr>
          <w:b/>
          <w:sz w:val="22"/>
          <w:lang w:val="en-US"/>
        </w:rPr>
        <w:t>13. CMS guidance on advanced diagnostic lab tests</w:t>
      </w:r>
    </w:p>
    <w:p>
      <w:pPr>
        <w:spacing w:after="60"/>
      </w:pPr>
      <w:r>
        <w:rPr>
          <w:sz w:val="21"/>
          <w:lang w:val="en-US"/>
        </w:rPr>
        <w:t>Explains that Medicare coverage is a separate decision from a test’s status under the laboratory payment system.</w:t>
      </w:r>
    </w:p>
    <w:p>
      <w:pPr>
        <w:spacing w:after="220"/>
      </w:pPr>
      <w:hyperlink r:id="rId27">
        <w:r>
          <w:rPr>
            <w:color w:val="1C536B"/>
            <w:sz w:val="21"/>
            <w:u w:val="single"/>
          </w:rPr>
          <w:t>CMS laboratory guidance</w:t>
        </w:r>
      </w:hyperlink>
    </w:p>
    <w:p>
      <w:pPr>
        <w:spacing w:after="80"/>
      </w:pPr>
      <w:r>
        <w:rPr>
          <w:b/>
          <w:sz w:val="22"/>
          <w:lang w:val="en-US"/>
        </w:rPr>
        <w:t>14. National Institute on Aging</w:t>
      </w:r>
    </w:p>
    <w:p>
      <w:pPr>
        <w:spacing w:after="60"/>
      </w:pPr>
      <w:r>
        <w:rPr>
          <w:sz w:val="21"/>
          <w:lang w:val="en-US"/>
        </w:rPr>
        <w:t>Alzheimer’s Disease Fact Sheet. Symptoms, medical evaluation, other causes of memory problems, and care.</w:t>
      </w:r>
    </w:p>
    <w:p>
      <w:pPr>
        <w:spacing w:after="220"/>
      </w:pPr>
      <w:hyperlink r:id="rId28">
        <w:r>
          <w:rPr>
            <w:color w:val="1C536B"/>
            <w:sz w:val="21"/>
            <w:u w:val="single"/>
          </w:rPr>
          <w:t>NIA fact sheet</w:t>
        </w:r>
      </w:hyperlink>
    </w:p>
    <w:p>
      <w:pPr>
        <w:spacing w:after="80"/>
      </w:pPr>
      <w:r>
        <w:rPr>
          <w:b/>
          <w:sz w:val="22"/>
          <w:lang w:val="en-US"/>
        </w:rPr>
        <w:t>15. C2N PrecivityAD website</w:t>
      </w:r>
    </w:p>
    <w:p>
      <w:pPr>
        <w:spacing w:after="60"/>
      </w:pPr>
      <w:r>
        <w:rPr>
          <w:sz w:val="21"/>
          <w:lang w:val="en-US"/>
        </w:rPr>
        <w:t>The site reviewed for this edition identifies the currently available PrecivityAD2 version as a laboratory-developed test.</w:t>
      </w:r>
    </w:p>
    <w:p>
      <w:pPr>
        <w:spacing w:after="220"/>
      </w:pPr>
      <w:hyperlink r:id="rId29">
        <w:r>
          <w:rPr>
            <w:color w:val="1C536B"/>
            <w:sz w:val="21"/>
            <w:u w:val="single"/>
          </w:rPr>
          <w:t>Current product information</w:t>
        </w:r>
      </w:hyperlink>
    </w:p>
    <w:p>
      <w:pPr>
        <w:pStyle w:val="Heading2"/>
      </w:pPr>
      <w:r>
        <w:rPr>
          <w:lang w:val="en-US"/>
        </w:rPr>
        <w:t>How to use these sources</w:t>
      </w:r>
    </w:p>
    <w:p>
      <w:r>
        <w:rPr>
          <w:b w:val="0"/>
          <w:sz w:val="21"/>
          <w:lang w:val="en-US"/>
        </w:rPr>
        <w:t>FDA records are the main source for cleared uses and study results. Company announcements explain launch plans. Insurance policies set their own rules. The policy proposals for Hawaiʻi are the author’s recommendations. This report does not claim that local lab access or individual insurance benefits were confirmed.</w:t>
      </w:r>
    </w:p>
    <w:p>
      <w:pPr>
        <w:pStyle w:val="Heading1"/>
        <w:pageBreakBefore/>
      </w:pPr>
      <w:r>
        <w:rPr>
          <w:lang w:val="en-US"/>
        </w:rPr>
        <w:t>FDA pathway sources</w:t>
      </w:r>
    </w:p>
    <w:p>
      <w:r>
        <w:rPr>
          <w:b w:val="0"/>
          <w:sz w:val="21"/>
          <w:lang w:val="en-US"/>
        </w:rPr>
        <w:t>These sources support the FDA section added in Version 3. They explain the review paths and terms, not the performance of individual tests. Test-specific records remain sources 1–4.</w:t>
      </w:r>
    </w:p>
    <w:p>
      <w:pPr>
        <w:spacing w:after="80"/>
      </w:pPr>
      <w:r>
        <w:rPr>
          <w:b/>
          <w:sz w:val="22"/>
          <w:lang w:val="en-US"/>
        </w:rPr>
        <w:t>16. FDA device marketing pathways</w:t>
      </w:r>
    </w:p>
    <w:p>
      <w:pPr>
        <w:spacing w:after="60"/>
      </w:pPr>
      <w:r>
        <w:rPr>
          <w:sz w:val="21"/>
          <w:lang w:val="en-US"/>
        </w:rPr>
        <w:t>How clearance, De Novo authorization, and PMA approval differ.</w:t>
      </w:r>
    </w:p>
    <w:p>
      <w:pPr>
        <w:spacing w:after="220"/>
      </w:pPr>
      <w:hyperlink r:id="rId30">
        <w:r>
          <w:rPr>
            <w:color w:val="1C536B"/>
            <w:sz w:val="21"/>
            <w:u w:val="single"/>
          </w:rPr>
          <w:t>510(k) clearance</w:t>
        </w:r>
      </w:hyperlink>
      <w:r>
        <w:rPr>
          <w:sz w:val="21"/>
          <w:lang w:val="en-US"/>
        </w:rPr>
        <w:t xml:space="preserve">  |  </w:t>
      </w:r>
      <w:hyperlink r:id="rId31">
        <w:r>
          <w:rPr>
            <w:color w:val="1C536B"/>
            <w:sz w:val="21"/>
            <w:u w:val="single"/>
          </w:rPr>
          <w:t>De Novo</w:t>
        </w:r>
      </w:hyperlink>
      <w:r>
        <w:rPr>
          <w:sz w:val="21"/>
          <w:lang w:val="en-US"/>
        </w:rPr>
        <w:t xml:space="preserve">  |  </w:t>
      </w:r>
      <w:hyperlink r:id="rId32">
        <w:r>
          <w:rPr>
            <w:color w:val="1C536B"/>
            <w:sz w:val="21"/>
            <w:u w:val="single"/>
          </w:rPr>
          <w:t>PMA approval</w:t>
        </w:r>
      </w:hyperlink>
    </w:p>
    <w:p>
      <w:pPr>
        <w:spacing w:after="80"/>
      </w:pPr>
      <w:r>
        <w:rPr>
          <w:b/>
          <w:sz w:val="22"/>
          <w:lang w:val="en-US"/>
        </w:rPr>
        <w:t>17. FDA emergency use authorization</w:t>
      </w:r>
    </w:p>
    <w:p>
      <w:pPr>
        <w:spacing w:after="60"/>
      </w:pPr>
      <w:r>
        <w:rPr>
          <w:sz w:val="21"/>
          <w:lang w:val="en-US"/>
        </w:rPr>
        <w:t>Explains the evidence standard, emergency limits, and end of an EUA.</w:t>
      </w:r>
    </w:p>
    <w:p>
      <w:pPr>
        <w:spacing w:after="220"/>
      </w:pPr>
      <w:hyperlink r:id="rId33">
        <w:r>
          <w:rPr>
            <w:color w:val="1C536B"/>
            <w:sz w:val="21"/>
            <w:u w:val="single"/>
          </w:rPr>
          <w:t>FDA explanation of EUA</w:t>
        </w:r>
      </w:hyperlink>
    </w:p>
    <w:p>
      <w:pPr>
        <w:spacing w:after="80"/>
      </w:pPr>
      <w:r>
        <w:rPr>
          <w:b/>
          <w:sz w:val="22"/>
          <w:lang w:val="en-US"/>
        </w:rPr>
        <w:t>18. FDA humanitarian device exemption</w:t>
      </w:r>
    </w:p>
    <w:p>
      <w:pPr>
        <w:spacing w:after="60"/>
      </w:pPr>
      <w:r>
        <w:rPr>
          <w:sz w:val="21"/>
          <w:lang w:val="en-US"/>
        </w:rPr>
        <w:t>Rare-condition eligibility, probable benefit, and special use rules.</w:t>
      </w:r>
    </w:p>
    <w:p>
      <w:pPr>
        <w:spacing w:after="220"/>
      </w:pPr>
      <w:hyperlink r:id="rId34">
        <w:r>
          <w:rPr>
            <w:color w:val="1C536B"/>
            <w:sz w:val="21"/>
            <w:u w:val="single"/>
          </w:rPr>
          <w:t>HDE overview</w:t>
        </w:r>
      </w:hyperlink>
      <w:r>
        <w:rPr>
          <w:sz w:val="21"/>
          <w:lang w:val="en-US"/>
        </w:rPr>
        <w:t xml:space="preserve">  |  </w:t>
      </w:r>
      <w:hyperlink r:id="rId35">
        <w:r>
          <w:rPr>
            <w:color w:val="1C536B"/>
            <w:sz w:val="21"/>
            <w:u w:val="single"/>
          </w:rPr>
          <w:t>HDE review and limits</w:t>
        </w:r>
      </w:hyperlink>
    </w:p>
    <w:p>
      <w:pPr>
        <w:spacing w:after="80"/>
      </w:pPr>
      <w:r>
        <w:rPr>
          <w:b/>
          <w:sz w:val="22"/>
          <w:lang w:val="en-US"/>
        </w:rPr>
        <w:t>19. FDA device risk classes</w:t>
      </w:r>
    </w:p>
    <w:p>
      <w:pPr>
        <w:spacing w:after="60"/>
      </w:pPr>
      <w:r>
        <w:rPr>
          <w:sz w:val="21"/>
          <w:lang w:val="en-US"/>
        </w:rPr>
        <w:t>Class I, II, and III and the controls used to manage device risks.</w:t>
      </w:r>
    </w:p>
    <w:p>
      <w:pPr>
        <w:spacing w:after="220"/>
      </w:pPr>
      <w:hyperlink r:id="rId36">
        <w:r>
          <w:rPr>
            <w:color w:val="1C536B"/>
            <w:sz w:val="21"/>
            <w:u w:val="single"/>
          </w:rPr>
          <w:t>Device classification</w:t>
        </w:r>
      </w:hyperlink>
    </w:p>
    <w:p>
      <w:pPr>
        <w:spacing w:after="80"/>
      </w:pPr>
      <w:r>
        <w:rPr>
          <w:b/>
          <w:sz w:val="22"/>
          <w:lang w:val="en-US"/>
        </w:rPr>
        <w:t>20. FDA Breakthrough Devices Program</w:t>
      </w:r>
    </w:p>
    <w:p>
      <w:pPr>
        <w:spacing w:after="60"/>
      </w:pPr>
      <w:r>
        <w:rPr>
          <w:sz w:val="21"/>
          <w:lang w:val="en-US"/>
        </w:rPr>
        <w:t>Faster development and review do not replace marketing review standards.</w:t>
      </w:r>
    </w:p>
    <w:p>
      <w:pPr>
        <w:spacing w:after="220"/>
      </w:pPr>
      <w:hyperlink r:id="rId37">
        <w:r>
          <w:rPr>
            <w:color w:val="1C536B"/>
            <w:sz w:val="21"/>
            <w:u w:val="single"/>
          </w:rPr>
          <w:t>Breakthrough Devices Program</w:t>
        </w:r>
      </w:hyperlink>
    </w:p>
    <w:p>
      <w:pPr>
        <w:spacing w:after="80"/>
      </w:pPr>
      <w:r>
        <w:rPr>
          <w:b/>
          <w:sz w:val="22"/>
          <w:lang w:val="en-US"/>
        </w:rPr>
        <w:t>21. FDA research and investigational use</w:t>
      </w:r>
    </w:p>
    <w:p>
      <w:pPr>
        <w:spacing w:after="60"/>
      </w:pPr>
      <w:r>
        <w:rPr>
          <w:sz w:val="21"/>
          <w:lang w:val="en-US"/>
        </w:rPr>
        <w:t>Labels and study rules distinguish research from routine diagnostic use.</w:t>
      </w:r>
    </w:p>
    <w:p>
      <w:pPr>
        <w:spacing w:after="220"/>
      </w:pPr>
      <w:hyperlink r:id="rId38">
        <w:r>
          <w:rPr>
            <w:color w:val="1C536B"/>
            <w:sz w:val="21"/>
            <w:u w:val="single"/>
          </w:rPr>
          <w:t>Diagnostic device labels</w:t>
        </w:r>
      </w:hyperlink>
      <w:r>
        <w:rPr>
          <w:sz w:val="21"/>
          <w:lang w:val="en-US"/>
        </w:rPr>
        <w:t xml:space="preserve">  |  </w:t>
      </w:r>
      <w:hyperlink r:id="rId39">
        <w:r>
          <w:rPr>
            <w:color w:val="1C536B"/>
            <w:sz w:val="21"/>
            <w:u w:val="single"/>
          </w:rPr>
          <w:t>Investigational device questions</w:t>
        </w:r>
      </w:hyperlink>
    </w:p>
    <w:p>
      <w:pPr>
        <w:spacing w:after="80"/>
      </w:pPr>
      <w:r>
        <w:rPr>
          <w:b/>
          <w:sz w:val="22"/>
          <w:lang w:val="en-US"/>
        </w:rPr>
        <w:t>22. FDA registration and CMS laboratory oversight</w:t>
      </w:r>
    </w:p>
    <w:p>
      <w:pPr>
        <w:spacing w:after="60"/>
      </w:pPr>
      <w:r>
        <w:rPr>
          <w:sz w:val="21"/>
          <w:lang w:val="en-US"/>
        </w:rPr>
        <w:t>Registration is not marketing authorization. CLIA and FDA review have different roles.</w:t>
      </w:r>
    </w:p>
    <w:p>
      <w:pPr>
        <w:spacing w:after="220"/>
      </w:pPr>
      <w:hyperlink r:id="rId40">
        <w:r>
          <w:rPr>
            <w:color w:val="1C536B"/>
            <w:sz w:val="21"/>
            <w:u w:val="single"/>
          </w:rPr>
          <w:t>FDA registration facts</w:t>
        </w:r>
      </w:hyperlink>
      <w:r>
        <w:rPr>
          <w:sz w:val="21"/>
          <w:lang w:val="en-US"/>
        </w:rPr>
        <w:t xml:space="preserve">  |  </w:t>
      </w:r>
      <w:hyperlink r:id="rId41">
        <w:r>
          <w:rPr>
            <w:color w:val="1C536B"/>
            <w:sz w:val="21"/>
            <w:u w:val="single"/>
          </w:rPr>
          <w:t>CMS CLIA and LDT questions</w:t>
        </w:r>
      </w:hyperlink>
    </w:p>
    <w:p>
      <w:pPr>
        <w:spacing w:after="80"/>
      </w:pPr>
      <w:r>
        <w:rPr>
          <w:b/>
          <w:sz w:val="22"/>
          <w:lang w:val="en-US"/>
        </w:rPr>
        <w:t>23. FDA accelerated approval for drugs</w:t>
      </w:r>
    </w:p>
    <w:p>
      <w:pPr>
        <w:spacing w:after="60"/>
      </w:pPr>
      <w:r>
        <w:rPr>
          <w:sz w:val="21"/>
          <w:lang w:val="en-US"/>
        </w:rPr>
        <w:t>Explains markers used to predict benefit and required follow-up studies.</w:t>
      </w:r>
    </w:p>
    <w:p>
      <w:pPr>
        <w:spacing w:after="220"/>
      </w:pPr>
      <w:hyperlink r:id="rId42">
        <w:r>
          <w:rPr>
            <w:color w:val="1C536B"/>
            <w:sz w:val="21"/>
            <w:u w:val="single"/>
          </w:rPr>
          <w:t>Accelerated approval</w:t>
        </w:r>
      </w:hyperlink>
    </w:p>
    <w:sectPr w:rsidR="00FC693F" w:rsidRPr="0006063C" w:rsidSect="00034616">
      <w:footerReference w:type="default" r:id="rId9"/>
      <w:pgSz w:w="12240" w:h="15840"/>
      <w:pgMar w:top="1037" w:right="1152" w:bottom="1152" w:left="1152"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20" w:line="240" w:lineRule="auto"/>
      <w:jc w:val="center"/>
    </w:pPr>
    <w:r>
      <w:rPr>
        <w:sz w:val="18"/>
      </w:rPr>
      <w:t>© 2026 Jerry Perone. All Rights Reserved.</w:t>
    </w:r>
  </w:p>
  <w:p>
    <w:pPr>
      <w:spacing w:after="0" w:line="240" w:lineRule="auto"/>
      <w:jc w:val="center"/>
    </w:pPr>
    <w:r>
      <w:rPr>
        <w:sz w:val="18"/>
      </w:rPr>
      <w:t xml:space="preserve">Version 3  |  September 29, 2026  |  Page </w:t>
    </w:r>
    <w:r>
      <w:rPr>
        <w:sz w:val="18"/>
      </w:rPr>
      <w:fldChar w:fldCharType="begin"/>
    </w:r>
    <w:r>
      <w:instrText xml:space="preserve"> PAGE </w:instrText>
    </w:r>
    <w:r>
      <w:fldChar w:fldCharType="separate"/>
    </w:r>
    <w:r>
      <w:rPr>
        <w:sz w:val="18"/>
      </w:rPr>
      <w:t>1</w:t>
    </w:r>
    <w:r>
      <w:fldChar w:fldCharType="end"/>
    </w:r>
    <w:r>
      <w:rPr>
        <w:sz w:val="18"/>
      </w:rPr>
      <w:t xml:space="preserve"> of </w:t>
    </w:r>
    <w:r>
      <w:rPr>
        <w:sz w:val="18"/>
      </w:rPr>
      <w:fldChar w:fldCharType="begin"/>
    </w:r>
    <w:r>
      <w:instrText xml:space="preserve"> NUMPAGES </w:instrText>
    </w:r>
    <w:r>
      <w:fldChar w:fldCharType="separate"/>
    </w:r>
    <w:r>
      <w:rPr>
        <w:sz w:val="18"/>
      </w:rPr>
      <w:t>16</w: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9" w:lineRule="auto" w:after="160"/>
    </w:pPr>
    <w:rPr>
      <w:rFonts w:ascii="Calibri" w:hAnsi="Calibri"/>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80"/>
      <w:outlineLvl w:val="0"/>
    </w:pPr>
    <w:rPr>
      <w:rFonts w:asciiTheme="majorHAnsi" w:eastAsiaTheme="majorEastAsia" w:hAnsiTheme="majorHAnsi" w:cstheme="majorBidi" w:ascii="Calibri" w:hAnsi="Calibri"/>
      <w:b/>
      <w:bCs/>
      <w:color w:val="000000"/>
      <w:sz w:val="42"/>
      <w:szCs w:val="28"/>
    </w:rPr>
  </w:style>
  <w:style w:type="paragraph" w:styleId="Heading2">
    <w:name w:val="heading 2"/>
    <w:basedOn w:val="Normal"/>
    <w:next w:val="Normal"/>
    <w:link w:val="Heading2Char"/>
    <w:uiPriority w:val="9"/>
    <w:unhideWhenUsed/>
    <w:qFormat/>
    <w:rsid w:val="00FC693F"/>
    <w:pPr>
      <w:keepNext/>
      <w:keepLines/>
      <w:spacing w:before="280" w:after="180"/>
      <w:outlineLvl w:val="1"/>
    </w:pPr>
    <w:rPr>
      <w:rFonts w:asciiTheme="majorHAnsi" w:eastAsiaTheme="majorEastAsia" w:hAnsiTheme="majorHAnsi" w:cstheme="majorBidi" w:ascii="Calibri" w:hAnsi="Calibr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0" w:after="180"/>
      <w:outlineLvl w:val="2"/>
    </w:pPr>
    <w:rPr>
      <w:rFonts w:asciiTheme="majorHAnsi" w:eastAsiaTheme="majorEastAsia" w:hAnsiTheme="majorHAnsi" w:cstheme="majorBidi" w:ascii="Calibri" w:hAnsi="Calibri"/>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80" w:line="240" w:lineRule="auto" w:before="0"/>
      <w:contextualSpacing/>
    </w:pPr>
    <w:rPr>
      <w:rFonts w:asciiTheme="majorHAnsi" w:eastAsiaTheme="majorEastAsia" w:hAnsiTheme="majorHAnsi" w:cstheme="majorBidi" w:ascii="Calibri" w:hAnsi="Calibri"/>
      <w:b/>
      <w:color w:val="000000"/>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80"/>
    </w:pPr>
    <w:rPr>
      <w:rFonts w:asciiTheme="majorHAnsi" w:eastAsiaTheme="majorEastAsia" w:hAnsiTheme="majorHAnsi" w:cstheme="majorBidi" w:ascii="Calibri" w:hAnsi="Calibri"/>
      <w:b w:val="0"/>
      <w:i/>
      <w:iCs/>
      <w:color w:val="000000"/>
      <w:spacing w:val="15"/>
      <w:sz w:val="3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widowControl/>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widowControl/>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Calibri" w:hAnsi="Calibri"/>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accessdata.fda.gov/cdrh_docs/reviews/K242706.pdf" TargetMode="External"/><Relationship Id="rId11" Type="http://schemas.openxmlformats.org/officeDocument/2006/relationships/hyperlink" Target="https://www.accessdata.fda.gov/scripts/cdrh/cfdocs/cfpmn/pmn.cfm?ID=K252163" TargetMode="External"/><Relationship Id="rId12" Type="http://schemas.openxmlformats.org/officeDocument/2006/relationships/hyperlink" Target="https://www.accessdata.fda.gov/cdrh_docs/reviews/K252163.pdf" TargetMode="External"/><Relationship Id="rId13" Type="http://schemas.openxmlformats.org/officeDocument/2006/relationships/hyperlink" Target="https://www.accessdata.fda.gov/scripts/cdrh/cfdocs/cfPMN/pmn.cfm?ID=K253240" TargetMode="External"/><Relationship Id="rId14" Type="http://schemas.openxmlformats.org/officeDocument/2006/relationships/hyperlink" Target="https://www.accessdata.fda.gov/cdrh_docs/pdf25/K253240.pdf" TargetMode="External"/><Relationship Id="rId15" Type="http://schemas.openxmlformats.org/officeDocument/2006/relationships/hyperlink" Target="https://www.accessdata.fda.gov/scripts/cdrh/cfdocs/cfpmn/pmn.cfm?ID=K261686" TargetMode="External"/><Relationship Id="rId16" Type="http://schemas.openxmlformats.org/officeDocument/2006/relationships/hyperlink" Target="https://www.accessdata.fda.gov/cdrh_docs/pdf26/K261686.pdf" TargetMode="External"/><Relationship Id="rId17" Type="http://schemas.openxmlformats.org/officeDocument/2006/relationships/hyperlink" Target="https://www.accessdata.fda.gov/scripts/cdrh/cfdocs/cfRES/res.cfm?id=217941" TargetMode="External"/><Relationship Id="rId18" Type="http://schemas.openxmlformats.org/officeDocument/2006/relationships/hyperlink" Target="https://www.accessdata.fda.gov/scripts/cdrh/cfdocs/cfRES/res.cfm?id=217944" TargetMode="External"/><Relationship Id="rId19" Type="http://schemas.openxmlformats.org/officeDocument/2006/relationships/hyperlink" Target="https://doi.org/10.1002/alz.70535" TargetMode="External"/><Relationship Id="rId20" Type="http://schemas.openxmlformats.org/officeDocument/2006/relationships/hyperlink" Target="https://aaic.alz.org/releases-2025/clinical-practice-guideline-blood-based-biomarkers.asp" TargetMode="External"/><Relationship Id="rId21" Type="http://schemas.openxmlformats.org/officeDocument/2006/relationships/hyperlink" Target="https://diagnostics.roche.com/us/en/news-listing/2026/fda-elecsys-ptau217-alzheimers-blood-test.html" TargetMode="External"/><Relationship Id="rId22" Type="http://schemas.openxmlformats.org/officeDocument/2006/relationships/hyperlink" Target="https://c2n.com/news-releases/bg2ziqcz39o3wxf5uc04u279ziw0yv" TargetMode="External"/><Relationship Id="rId23" Type="http://schemas.openxmlformats.org/officeDocument/2006/relationships/hyperlink" Target="https://www.anthem.com/medpolicies/abcbs/active/mp_pw_e001583.html" TargetMode="External"/><Relationship Id="rId24" Type="http://schemas.openxmlformats.org/officeDocument/2006/relationships/hyperlink" Target="https://c2n.com/news-releases/anthem-establishes-coverage-of-c2n-diagnostics-precivityad2-blood-test-for-alzheimers-disease-evaluation" TargetMode="External"/><Relationship Id="rId25" Type="http://schemas.openxmlformats.org/officeDocument/2006/relationships/hyperlink" Target="https://www.cms.gov/medicare-coverage-database/view/ncd.aspx?NCDId=356" TargetMode="External"/><Relationship Id="rId26" Type="http://schemas.openxmlformats.org/officeDocument/2006/relationships/hyperlink" Target="https://www.cms.gov/medicare-coverage-database/view/ncd.aspx?ncdid=375&amp;ncdver=1" TargetMode="External"/><Relationship Id="rId27" Type="http://schemas.openxmlformats.org/officeDocument/2006/relationships/hyperlink" Target="https://www.cms.gov/Medicare/Medicare-Fee-for-Service-Payment/ClinicalLabFeeSched/Downloads/Guidance-for-Laboratories-on-ADLTs.pdf" TargetMode="External"/><Relationship Id="rId28" Type="http://schemas.openxmlformats.org/officeDocument/2006/relationships/hyperlink" Target="https://www.nia.nih.gov/health/alzheimers-and-dementia/alzheimers-disease-fact-sheet" TargetMode="External"/><Relationship Id="rId29" Type="http://schemas.openxmlformats.org/officeDocument/2006/relationships/hyperlink" Target="https://precivityad.com/" TargetMode="External"/><Relationship Id="rId30" Type="http://schemas.openxmlformats.org/officeDocument/2006/relationships/hyperlink" Target="https://www.fda.gov/medical-devices/premarket-submissions-selecting-and-preparing-correct-submission/premarket-notification-510k" TargetMode="External"/><Relationship Id="rId31" Type="http://schemas.openxmlformats.org/officeDocument/2006/relationships/hyperlink" Target="https://www.fda.gov/medical-devices/premarket-submissions-selecting-and-preparing-correct-submission/de-novo-classification-request" TargetMode="External"/><Relationship Id="rId32" Type="http://schemas.openxmlformats.org/officeDocument/2006/relationships/hyperlink" Target="https://www.fda.gov/medical-devices/premarket-submissions-selecting-and-preparing-correct-submission/premarket-approval-pma" TargetMode="External"/><Relationship Id="rId33" Type="http://schemas.openxmlformats.org/officeDocument/2006/relationships/hyperlink" Target="https://www.fda.gov/consumers/consumer-updates/understanding-fda-terms-possible-new-therapies-prevent-and-treat-diseases" TargetMode="External"/><Relationship Id="rId34" Type="http://schemas.openxmlformats.org/officeDocument/2006/relationships/hyperlink" Target="https://www.fda.gov/medical-devices/premarket-submissions-selecting-and-preparing-correct-submission/humanitarian-device-exemption" TargetMode="External"/><Relationship Id="rId35" Type="http://schemas.openxmlformats.org/officeDocument/2006/relationships/hyperlink" Target="https://www.fda.gov/medical-devices/humanitarian-device-exemption/getting-humanitarian-use-device-market" TargetMode="External"/><Relationship Id="rId36" Type="http://schemas.openxmlformats.org/officeDocument/2006/relationships/hyperlink" Target="https://www.fda.gov/medical-devices/overview-device-regulation/classify-your-medical-device" TargetMode="External"/><Relationship Id="rId37" Type="http://schemas.openxmlformats.org/officeDocument/2006/relationships/hyperlink" Target="https://www.fda.gov/medical-devices/how-study-and-market-your-device/breakthrough-devices-program" TargetMode="External"/><Relationship Id="rId38" Type="http://schemas.openxmlformats.org/officeDocument/2006/relationships/hyperlink" Target="https://www.fda.gov/medical-devices/device-labeling/in-vitro-diagnostic-device-labeling-requirements" TargetMode="External"/><Relationship Id="rId39" Type="http://schemas.openxmlformats.org/officeDocument/2006/relationships/hyperlink" Target="https://www.fda.gov/medical-devices/investigational-device-exemption-ide/faqs-about-investigational-device-exemption" TargetMode="External"/><Relationship Id="rId40" Type="http://schemas.openxmlformats.org/officeDocument/2006/relationships/hyperlink" Target="https://www.fda.gov/medical-devices/consumers-medical-devices/are-there-fda-registered-or-fda-certified-medical-devices-how-do-i-know-what-fda-approved" TargetMode="External"/><Relationship Id="rId41" Type="http://schemas.openxmlformats.org/officeDocument/2006/relationships/hyperlink" Target="https://www.cms.gov/regulations-and-guidance/legislation/clia/downloads/ldt-and-clia_faqs.pdf" TargetMode="External"/><Relationship Id="rId42" Type="http://schemas.openxmlformats.org/officeDocument/2006/relationships/hyperlink" Target="https://www.fda.gov/patients/fast-track-breakthrough-therapy-accelerated-approval-priority-review/accelerated-approv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Blood Tests for Alzheimer Disease</dc:title>
  <dc:subject>Version 3 plain language report on Alzheimer blood tests and FDA pathways</dc:subject>
  <dc:creator>Jerry Perone</dc:creator>
  <cp:keywords>Alzheimer disease, blood tests, biomarkers, Hawaii, FDA pathways, Version 3</cp:keywords>
  <dc:description>Version 3 dated September 29, 2026. Adds FDA pathways and risk classes to Version 2. Existing test, coverage, and policy content is retained.</dc:description>
  <cp:lastModifiedBy>Jerry Perone</cp:lastModifiedBy>
  <cp:revision>3</cp:revision>
  <dcterms:created xsi:type="dcterms:W3CDTF">2013-12-23T23:15:00Z</dcterms:created>
  <dcterms:modified xsi:type="dcterms:W3CDTF">2026-09-30T05:48:49Z</dcterms:modified>
  <cp:category/>
</cp:coreProperties>
</file>