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Hawaii Dementia Access Questions for Tuesday</w:t>
      </w:r>
    </w:p>
    <w:p>
      <w:r>
        <w:rPr>
          <w:b w:val="0"/>
        </w:rPr>
        <w:t>For Alan Muneoka and Representative Ed Case’s office ahead of the September 15, 2026 Energy and Commerce Health Subcommittee hearing. Prepared for the September 14 discussion; public sources checked September 12.</w:t>
      </w:r>
    </w:p>
    <w:p>
      <w:pPr>
        <w:pStyle w:val="Heading2"/>
      </w:pPr>
      <w:r>
        <w:t>Requested action</w:t>
      </w:r>
    </w:p>
    <w:p>
      <w:r>
        <w:rPr>
          <w:b w:val="0"/>
        </w:rPr>
        <w:t>Please identify one question below that would help the ASAP discussion and share it with the appropriate sponsor or committee staff before Tuesday. Please tell us the most useful recipient, format and deadline for any additional Hawaiʻi example. If formal submission is available, please advise on that process.</w:t>
      </w:r>
    </w:p>
    <w:p>
      <w:pPr>
        <w:pStyle w:val="Heading2"/>
      </w:pPr>
      <w:r>
        <w:t>Three proposed questions for committee use</w:t>
      </w:r>
    </w:p>
    <w:p>
      <w:r>
        <w:rPr>
          <w:b w:val="0"/>
        </w:rPr>
        <w:t>1. How should implementation connect an abnormal test result to timely evaluation, a care plan and caregiver support in communities with limited specialist access? What measure would show that patients complete that pathway?</w:t>
      </w:r>
    </w:p>
    <w:p>
      <w:r>
        <w:rPr>
          <w:b w:val="0"/>
        </w:rPr>
        <w:t>2. What preparation should CMS and providers complete before the bill’s proposed January 2028 start, including clarity about qualifying tests, appropriate use and payment?</w:t>
      </w:r>
    </w:p>
    <w:p>
      <w:r>
        <w:rPr>
          <w:b w:val="0"/>
        </w:rPr>
        <w:t>3. How can coverage policy and provider training work together so that additional detection does not create a longer wait for appropriate follow-up care?</w:t>
      </w:r>
    </w:p>
    <w:p>
      <w:pPr>
        <w:pStyle w:val="Heading2"/>
      </w:pPr>
      <w:r>
        <w:t>Relevant context</w:t>
      </w:r>
    </w:p>
    <w:p>
      <w:r>
        <w:rPr>
          <w:b w:val="0"/>
        </w:rPr>
        <w:t>Case joined Alzheimer’s legislation in April 2005 and Improving HOPE for Alzheimer’s in October 2019. That history provides a foundation for discussing research, family support and the practical use of care planning. The current ASAP text proposes services beginning January 1, 2028. AADAPT’s House-passed text addresses Project ECHO capacity through FY2031.</w:t>
      </w:r>
    </w:p>
    <w:p>
      <w:r>
        <w:rPr>
          <w:b w:val="0"/>
        </w:rPr>
        <w:t>Hawaiʻi has enacted Hānai with $3 million for implementation. We propose using its developing pathway to identify concrete federal-state coordination questions. This is not a claim that every planned service is operating.</w:t>
      </w:r>
    </w:p>
    <w:p>
      <w:pPr>
        <w:pStyle w:val="Heading2"/>
      </w:pPr>
      <w:r>
        <w:t>Follow up proposed at the meeting</w:t>
      </w:r>
    </w:p>
    <w:p>
      <w:r>
        <w:rPr>
          <w:b w:val="0"/>
        </w:rPr>
        <w:t>Agree on one recipient and one deliverable Monday. A local contributor can provide a verified example if available. After Tuesday, we can prepare a short note identifying the relevant discussion, an unanswered question and the next action requested.</w:t>
      </w:r>
    </w:p>
    <w:p>
      <w:pPr>
        <w:pStyle w:val="Heading2"/>
      </w:pPr>
      <w:r>
        <w:t>Sources</w:t>
      </w:r>
    </w:p>
    <w:p>
      <w:pPr>
        <w:spacing w:after="20"/>
      </w:pPr>
      <w:r>
        <w:rPr>
          <w:b w:val="0"/>
          <w:sz w:val="17"/>
        </w:rPr>
      </w:r>
      <w:hyperlink r:id="rId9">
        <w:r>
          <w:rPr>
            <w:color w:val="1F4E79"/>
          </w:rPr>
          <w:t>E&amp;C hearing notice, September 8, 2026</w:t>
        </w:r>
      </w:hyperlink>
    </w:p>
    <w:p>
      <w:pPr>
        <w:spacing w:after="20"/>
      </w:pPr>
      <w:r>
        <w:rPr>
          <w:b w:val="0"/>
          <w:sz w:val="17"/>
        </w:rPr>
      </w:r>
      <w:hyperlink r:id="rId10">
        <w:r>
          <w:rPr>
            <w:color w:val="1F4E79"/>
          </w:rPr>
          <w:t>Congressional Record, April 6, 2005, H1847</w:t>
        </w:r>
      </w:hyperlink>
    </w:p>
    <w:p>
      <w:pPr>
        <w:spacing w:after="20"/>
      </w:pPr>
      <w:r>
        <w:rPr>
          <w:b w:val="0"/>
          <w:sz w:val="17"/>
        </w:rPr>
      </w:r>
      <w:hyperlink r:id="rId11">
        <w:r>
          <w:rPr>
            <w:color w:val="1F4E79"/>
          </w:rPr>
          <w:t>Congressional Record, October 30, 2019, H8679</w:t>
        </w:r>
      </w:hyperlink>
    </w:p>
    <w:p>
      <w:pPr>
        <w:spacing w:after="20"/>
      </w:pPr>
      <w:r>
        <w:rPr>
          <w:b w:val="0"/>
          <w:sz w:val="17"/>
        </w:rPr>
      </w:r>
      <w:hyperlink r:id="rId12">
        <w:r>
          <w:rPr>
            <w:color w:val="1F4E79"/>
          </w:rPr>
          <w:t>H.R. 6130 introduced text, section 2</w:t>
        </w:r>
      </w:hyperlink>
    </w:p>
    <w:p>
      <w:pPr>
        <w:spacing w:after="20"/>
      </w:pPr>
      <w:r>
        <w:rPr>
          <w:b w:val="0"/>
          <w:sz w:val="17"/>
        </w:rPr>
      </w:r>
      <w:hyperlink r:id="rId13">
        <w:r>
          <w:rPr>
            <w:color w:val="1F4E79"/>
          </w:rPr>
          <w:t>H.R. 3747 House-passed text, July 20, 2026</w:t>
        </w:r>
      </w:hyperlink>
    </w:p>
    <w:p>
      <w:pPr>
        <w:spacing w:after="20"/>
      </w:pPr>
      <w:r>
        <w:rPr>
          <w:b w:val="0"/>
          <w:sz w:val="17"/>
        </w:rPr>
      </w:r>
      <w:hyperlink r:id="rId14">
        <w:r>
          <w:rPr>
            <w:color w:val="1F4E79"/>
          </w:rPr>
          <w:t>Governor’s announcement of Act 245, July 2026</w:t>
        </w:r>
      </w:hyperlink>
    </w:p>
    <w:sectPr w:rsidR="00FC693F" w:rsidRPr="0006063C" w:rsidSect="00034616">
      <w:footerReference w:type="default" r:id="rId15"/>
      <w:pgSz w:w="12240" w:h="15840"/>
      <w:pgMar w:top="950" w:right="1123" w:bottom="90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Page </w:t>
    </w:r>
    <w:fldSimple w:instr="PAGE"/>
    <w:r>
      <w:rPr>
        <w:sz w:val="18"/>
      </w:rPr>
      <w:t xml:space="preserve"> of </w:t>
    </w:r>
    <w:fldSimple w:instr="NUMPAGES"/>
  </w:p>
</w:ftr>
</file>

<file path=word/footnotes.xml><?xml version="1.0" encoding="utf-8"?>
<w:footnotes xmlns:w="http://schemas.openxmlformats.org/wordprocessingml/2006/main">
  <w:footnote w:id="-1" w:type="separator">
    <w:p>
      <w:r>
        <w:separator/>
      </w:r>
    </w:p>
  </w:footnote>
  <w:footnote w:id="0" w:type="continuationSeparator">
    <w:p>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0"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Calibri" w:hAnsi="Calibr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Calibri" w:hAnsi="Calibri"/>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line="250" w:lineRule="auto"/>
    </w:pPr>
    <w:rPr>
      <w:rFonts w:ascii="Calibri" w:hAnsi="Calibri"/>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republicans-energycommerce.house.gov/posts/chairmen-guthrie-and-griffith-announce-legislative-hearing-to-address-medicare-provider-payment-challenges-and-bolster-cybersecurity-in-american-health-care" TargetMode="External"/><Relationship Id="rId10" Type="http://schemas.openxmlformats.org/officeDocument/2006/relationships/hyperlink" Target="https://www.govinfo.gov/content/pkg/CREC-2005-04-06/pdf/CREC-2005-04-06.pdf" TargetMode="External"/><Relationship Id="rId11" Type="http://schemas.openxmlformats.org/officeDocument/2006/relationships/hyperlink" Target="https://www.govinfo.gov/content/pkg/CREC-2019-10-30/pdf/CREC-2019-10-30.pdf" TargetMode="External"/><Relationship Id="rId12" Type="http://schemas.openxmlformats.org/officeDocument/2006/relationships/hyperlink" Target="https://www.govinfo.gov/content/pkg/BILLS-119hr6130ih/html/BILLS-119hr6130ih.htm" TargetMode="External"/><Relationship Id="rId13" Type="http://schemas.openxmlformats.org/officeDocument/2006/relationships/hyperlink" Target="https://www.govinfo.gov/content/pkg/BILLS-119hr3747eh/html/BILLS-119hr3747eh.htm" TargetMode="External"/><Relationship Id="rId14" Type="http://schemas.openxmlformats.org/officeDocument/2006/relationships/hyperlink" Target="https://governor.hawaii.gov/newsroom/office-of-the-governor-news-release-gov-green-signs-legislation-to-support-kupuna-care-and-strengthen-ai-protection/" TargetMode="External"/><Relationship Id="rId15" Type="http://schemas.openxmlformats.org/officeDocument/2006/relationships/footer" Target="footer1.xml"/><Relationship Id="rIdFootnotes"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Hawaii Dementia Access Questions for Tuesday</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