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Follow up after an abnormal Alzheimer test</w:t>
      </w:r>
    </w:p>
    <w:p>
      <w:r>
        <w:rPr>
          <w:sz w:val="18"/>
        </w:rPr>
        <w:t>Prepared by Jerry Perone for Alan Muneoka and Representative Ed Case’s office</w:t>
        <w:br/>
        <w:t>September 14, 2026 at 9 a.m. HST   |   Public-source record through September 12, 2026</w:t>
      </w:r>
    </w:p>
    <w:p>
      <w:r>
        <w:t>A brief for the September 15 ASAP hearing. The implementation issue is whether a person who receives an abnormal result can reach appropriate clinical evaluation and a workable care plan. Expanded testing would need to connect with available services. This brief identifies existing evidence and questions for that connection.</w:t>
      </w:r>
    </w:p>
    <w:p>
      <w:pPr>
        <w:pStyle w:val="Heading1"/>
      </w:pPr>
      <w:r>
        <w:t>What the proposed coverage addresses</w:t>
      </w:r>
    </w:p>
    <w:p>
      <w:r>
        <w:t>The introduced ASAP Act, H.R. 6130, proposes Medicare coverage for specified Alzheimer’s screening services beginning January 1, 2028. The text includes FDA clearance, classification or approval requirements and provisions for qualifying equivalent tests. A future coverage category does not establish that every test is appropriate for every patient. Clinical interpretation and follow-up remain separate issues. [1]</w:t>
      </w:r>
    </w:p>
    <w:p>
      <w:pPr>
        <w:pStyle w:val="Heading1"/>
      </w:pPr>
      <w:r>
        <w:t>Evidence from an existing Medicare service</w:t>
      </w:r>
    </w:p>
    <w:p>
      <w:r>
        <w:t>GAO estimated that, at most, about 2.4% of traditional Medicare beneficiaries diagnosed with Alzheimer’s disease or a related disorder may have received the specific cognitive assessment and care-planning service in 2021. Similar care can occur under other billing codes. This is a historical national estimate, not a current Hawaiʻi rate or a measure of all dementia care. GAO identified provider time, billing and training challenges. [2]</w:t>
      </w:r>
    </w:p>
    <w:p>
      <w:pPr>
        <w:pStyle w:val="Heading1"/>
      </w:pPr>
      <w:r>
        <w:t>A Hawaiʻi implementation example</w:t>
      </w:r>
    </w:p>
    <w:p>
      <w:r>
        <w:t>Hawaiʻi enacted Hānai with $3 million for implementation. Its developing dementia-care network provides a concrete setting in which to examine referral arrangements. The appropriation and planning materials do not establish that every planned clinic is open or can accept additional patients. A useful next inquiry is which providers can receive referrals and how families are assisted in completing them. [3]</w:t>
      </w:r>
    </w:p>
    <w:p>
      <w:pPr>
        <w:pStyle w:val="Heading1"/>
      </w:pPr>
      <w:r>
        <w:t>Questions for the discussion</w:t>
      </w:r>
    </w:p>
    <w:p>
      <w:r>
        <w:t>What existing benefit or care model would support evaluation and care planning after an abnormal result? What gaps would remain where specialist access is limited?</w:t>
      </w:r>
    </w:p>
    <w:p>
      <w:r>
        <w:t>A proposed measure for discussion is the time from referral to completed evaluation, with reasons for noncompletion. The measure would need clinical input and a feasible data source before adoption.</w:t>
      </w:r>
    </w:p>
    <w:p>
      <w:pPr>
        <w:pStyle w:val="Heading1"/>
      </w:pPr>
      <w:r>
        <w:t>Sources</w:t>
      </w:r>
    </w:p>
    <w:p>
      <w:pPr>
        <w:spacing w:after="60"/>
      </w:pPr>
      <w:r>
        <w:rPr>
          <w:sz w:val="18"/>
        </w:rPr>
        <w:t xml:space="preserve">[1] U.S. Congress. </w:t>
      </w:r>
      <w:hyperlink r:id="rId9">
        <w:r>
          <w:rPr>
            <w:sz w:val="18"/>
            <w:color w:val="215A82"/>
          </w:rPr>
          <w:t>ASAP Act of 2025</w:t>
        </w:r>
      </w:hyperlink>
      <w:r>
        <w:rPr>
          <w:sz w:val="18"/>
        </w:rPr>
        <w:t>. H.R. 6130; introduced November 19, 2025; section 2; version linked in hearing notice.</w:t>
      </w:r>
    </w:p>
    <w:p>
      <w:pPr>
        <w:spacing w:after="60"/>
      </w:pPr>
      <w:r>
        <w:rPr>
          <w:sz w:val="18"/>
        </w:rPr>
        <w:t xml:space="preserve">[2] U.S. Government Accountability Office. </w:t>
      </w:r>
      <w:hyperlink r:id="rId10">
        <w:r>
          <w:rPr>
            <w:sz w:val="18"/>
            <w:color w:val="215A82"/>
          </w:rPr>
          <w:t>Medicare Cognitive Assessments Utilization Tripled between 2018 and 2022 but Challenges Remain</w:t>
        </w:r>
      </w:hyperlink>
      <w:r>
        <w:rPr>
          <w:sz w:val="18"/>
        </w:rPr>
        <w:t>. GAO-24-106328; December 11, 2023; 2021 utilization estimate.</w:t>
      </w:r>
    </w:p>
    <w:p>
      <w:pPr>
        <w:spacing w:after="60"/>
      </w:pPr>
      <w:r>
        <w:rPr>
          <w:sz w:val="18"/>
        </w:rPr>
        <w:t xml:space="preserve">[3] Office of Governor Josh Green. </w:t>
      </w:r>
      <w:hyperlink r:id="rId11">
        <w:r>
          <w:rPr>
            <w:sz w:val="18"/>
            <w:color w:val="215A82"/>
          </w:rPr>
          <w:t>Gov Green Signs Legislation to Support Kupuna Care and Strengthen AI Protection</w:t>
        </w:r>
      </w:hyperlink>
      <w:r>
        <w:rPr>
          <w:sz w:val="18"/>
        </w:rPr>
        <w:t>. Release July 14, 2026; posted July 15; HB1853, Act 245.</w:t>
      </w:r>
    </w:p>
    <w:p>
      <w:r>
        <w:br w:type="page"/>
      </w:r>
    </w:p>
    <w:p>
      <w:pPr>
        <w:pStyle w:val="Title"/>
      </w:pPr>
      <w:r>
        <w:t>ASAP AADAPT and Hānai roles</w:t>
      </w:r>
    </w:p>
    <w:p>
      <w:r>
        <w:rPr>
          <w:sz w:val="18"/>
        </w:rPr>
        <w:t>Prepared by Jerry Perone for Alan Muneoka and Representative Ed Case’s office</w:t>
        <w:br/>
        <w:t>September 14, 2026 at 9 a.m. HST   |   Public-source record through September 12, 2026</w:t>
      </w:r>
    </w:p>
    <w:p>
      <w:r>
        <w:t>These initiatives address different parts of dementia care. This comparison separates their purposes and verified milestones so staff can identify the next implementation question. It does not assume that a federal proposal is already law or that an authorized program has received an appropriation.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69"/>
        <w:gridCol w:w="3629"/>
        <w:gridCol w:w="5040"/>
      </w:tblGrid>
      <w:tr>
        <w:trPr>
          <w:cantSplit/>
        </w:trPr>
        <w:tc>
          <w:tcPr>
            <w:tcW w:type="dxa" w:w="1469"/>
            <w:vAlign w:val="center"/>
            <w:shd w:fill="233449"/>
            <w:tcMar>
              <w:top w:w="85" w:type="dxa"/>
              <w:bottom w:w="85" w:type="dxa"/>
              <w:left w:w="85" w:type="dxa"/>
              <w:right w:w="85" w:type="dxa"/>
            </w:tcMar>
          </w:tcPr>
          <w:p>
            <w:pPr>
              <w:spacing w:after="60"/>
            </w:pPr>
            <w:r>
              <w:rPr>
                <w:b/>
                <w:color w:val="FFFFFF"/>
                <w:sz w:val="20"/>
              </w:rPr>
              <w:t>Initiative</w:t>
            </w:r>
          </w:p>
        </w:tc>
        <w:tc>
          <w:tcPr>
            <w:tcW w:type="dxa" w:w="3629"/>
            <w:vAlign w:val="center"/>
            <w:shd w:fill="233449"/>
            <w:tcMar>
              <w:top w:w="85" w:type="dxa"/>
              <w:bottom w:w="85" w:type="dxa"/>
              <w:left w:w="85" w:type="dxa"/>
              <w:right w:w="85" w:type="dxa"/>
            </w:tcMar>
          </w:tcPr>
          <w:p>
            <w:pPr>
              <w:spacing w:after="60"/>
            </w:pPr>
            <w:r>
              <w:rPr>
                <w:b/>
                <w:color w:val="FFFFFF"/>
                <w:sz w:val="20"/>
              </w:rPr>
              <w:t>Purpose and verified milestone</w:t>
            </w:r>
          </w:p>
        </w:tc>
        <w:tc>
          <w:tcPr>
            <w:tcW w:type="dxa" w:w="5040"/>
            <w:vAlign w:val="center"/>
            <w:shd w:fill="233449"/>
            <w:tcMar>
              <w:top w:w="85" w:type="dxa"/>
              <w:bottom w:w="85" w:type="dxa"/>
              <w:left w:w="85" w:type="dxa"/>
              <w:right w:w="85" w:type="dxa"/>
            </w:tcMar>
          </w:tcPr>
          <w:p>
            <w:pPr>
              <w:spacing w:after="60"/>
            </w:pPr>
            <w:r>
              <w:rPr>
                <w:b/>
                <w:color w:val="FFFFFF"/>
                <w:sz w:val="20"/>
              </w:rPr>
              <w:t>Implementation question</w:t>
            </w:r>
          </w:p>
        </w:tc>
      </w:tr>
      <w:tr>
        <w:trPr>
          <w:cantSplit/>
        </w:trPr>
        <w:tc>
          <w:tcPr>
            <w:tcW w:type="dxa" w:w="1469"/>
            <w:vAlign w:val="center"/>
            <w:shd w:fill="F1F4F7"/>
            <w:tcMar>
              <w:top w:w="85" w:type="dxa"/>
              <w:bottom w:w="85" w:type="dxa"/>
              <w:left w:w="85" w:type="dxa"/>
              <w:right w:w="85" w:type="dxa"/>
            </w:tcMar>
          </w:tcPr>
          <w:p>
            <w:pPr>
              <w:spacing w:after="60"/>
            </w:pPr>
            <w:r>
              <w:rPr>
                <w:b w:val="0"/>
                <w:color w:val="000000"/>
                <w:sz w:val="20"/>
              </w:rPr>
              <w:t>ASAP</w:t>
              <w:br/>
              <w:t>H.R. 6130</w:t>
            </w:r>
          </w:p>
        </w:tc>
        <w:tc>
          <w:tcPr>
            <w:tcW w:type="dxa" w:w="3629"/>
            <w:vAlign w:val="center"/>
            <w:shd w:fill="F1F4F7"/>
            <w:tcMar>
              <w:top w:w="85" w:type="dxa"/>
              <w:bottom w:w="85" w:type="dxa"/>
              <w:left w:w="85" w:type="dxa"/>
              <w:right w:w="85" w:type="dxa"/>
            </w:tcMar>
          </w:tcPr>
          <w:p>
            <w:pPr>
              <w:spacing w:after="60"/>
            </w:pPr>
            <w:r>
              <w:rPr>
                <w:b w:val="0"/>
                <w:color w:val="000000"/>
                <w:sz w:val="20"/>
              </w:rPr>
              <w:t>Proposes specified Medicare Alzheimer’s screening coverage. The introduced text sets a January 1, 2028 start. Listed for the September 15 hearing. [1, 2]</w:t>
            </w:r>
          </w:p>
        </w:tc>
        <w:tc>
          <w:tcPr>
            <w:tcW w:type="dxa" w:w="5040"/>
            <w:vAlign w:val="center"/>
            <w:shd w:fill="F1F4F7"/>
            <w:tcMar>
              <w:top w:w="85" w:type="dxa"/>
              <w:bottom w:w="85" w:type="dxa"/>
              <w:left w:w="85" w:type="dxa"/>
              <w:right w:w="85" w:type="dxa"/>
            </w:tcMar>
          </w:tcPr>
          <w:p>
            <w:pPr>
              <w:spacing w:after="60"/>
            </w:pPr>
            <w:r>
              <w:rPr>
                <w:b w:val="0"/>
                <w:color w:val="000000"/>
                <w:sz w:val="20"/>
              </w:rPr>
              <w:t>What guidance is needed on qualifying tests, appropriate use and payment? How would patients reach follow-up evaluation?</w:t>
            </w:r>
          </w:p>
        </w:tc>
      </w:tr>
      <w:tr>
        <w:trPr>
          <w:cantSplit/>
        </w:trPr>
        <w:tc>
          <w:tcPr>
            <w:tcW w:type="dxa" w:w="1469"/>
            <w:vAlign w:val="center"/>
            <w:shd w:fill="FFFFFF"/>
            <w:tcMar>
              <w:top w:w="85" w:type="dxa"/>
              <w:bottom w:w="85" w:type="dxa"/>
              <w:left w:w="85" w:type="dxa"/>
              <w:right w:w="85" w:type="dxa"/>
            </w:tcMar>
          </w:tcPr>
          <w:p>
            <w:pPr>
              <w:spacing w:after="60"/>
            </w:pPr>
            <w:r>
              <w:rPr>
                <w:b w:val="0"/>
                <w:color w:val="000000"/>
                <w:sz w:val="20"/>
              </w:rPr>
              <w:t>AADAPT</w:t>
              <w:br/>
              <w:t>H.R. 3747</w:t>
            </w:r>
          </w:p>
        </w:tc>
        <w:tc>
          <w:tcPr>
            <w:tcW w:type="dxa" w:w="3629"/>
            <w:vAlign w:val="center"/>
            <w:shd w:fill="FFFFFF"/>
            <w:tcMar>
              <w:top w:w="85" w:type="dxa"/>
              <w:bottom w:w="85" w:type="dxa"/>
              <w:left w:w="85" w:type="dxa"/>
              <w:right w:w="85" w:type="dxa"/>
            </w:tcMar>
          </w:tcPr>
          <w:p>
            <w:pPr>
              <w:spacing w:after="60"/>
            </w:pPr>
            <w:r>
              <w:rPr>
                <w:b w:val="0"/>
                <w:color w:val="000000"/>
                <w:sz w:val="20"/>
              </w:rPr>
              <w:t>The July 20, 2026 House-passed text adds dementia care to Project ECHO’s scope and extends authorization through FY2031. This is the verified House milestone, not a claim of enactment. [3]</w:t>
            </w:r>
          </w:p>
        </w:tc>
        <w:tc>
          <w:tcPr>
            <w:tcW w:type="dxa" w:w="5040"/>
            <w:vAlign w:val="center"/>
            <w:shd w:fill="FFFFFF"/>
            <w:tcMar>
              <w:top w:w="85" w:type="dxa"/>
              <w:bottom w:w="85" w:type="dxa"/>
              <w:left w:w="85" w:type="dxa"/>
              <w:right w:w="85" w:type="dxa"/>
            </w:tcMar>
          </w:tcPr>
          <w:p>
            <w:pPr>
              <w:spacing w:after="60"/>
            </w:pPr>
            <w:r>
              <w:rPr>
                <w:b w:val="0"/>
                <w:color w:val="000000"/>
                <w:sz w:val="20"/>
              </w:rPr>
              <w:t>What funding and delivery arrangements would allow Hawaiʻi providers to participate? The operative section does not supply a separate new dementia appropriation.</w:t>
            </w:r>
          </w:p>
        </w:tc>
      </w:tr>
      <w:tr>
        <w:trPr>
          <w:cantSplit/>
        </w:trPr>
        <w:tc>
          <w:tcPr>
            <w:tcW w:type="dxa" w:w="1469"/>
            <w:vAlign w:val="center"/>
            <w:shd w:fill="F1F4F7"/>
            <w:tcMar>
              <w:top w:w="85" w:type="dxa"/>
              <w:bottom w:w="85" w:type="dxa"/>
              <w:left w:w="85" w:type="dxa"/>
              <w:right w:w="85" w:type="dxa"/>
            </w:tcMar>
          </w:tcPr>
          <w:p>
            <w:pPr>
              <w:spacing w:after="60"/>
            </w:pPr>
            <w:r>
              <w:rPr>
                <w:b w:val="0"/>
                <w:color w:val="000000"/>
                <w:sz w:val="20"/>
              </w:rPr>
              <w:t>Hānai</w:t>
              <w:br/>
              <w:t>Act 245</w:t>
            </w:r>
          </w:p>
        </w:tc>
        <w:tc>
          <w:tcPr>
            <w:tcW w:type="dxa" w:w="3629"/>
            <w:vAlign w:val="center"/>
            <w:shd w:fill="F1F4F7"/>
            <w:tcMar>
              <w:top w:w="85" w:type="dxa"/>
              <w:bottom w:w="85" w:type="dxa"/>
              <w:left w:w="85" w:type="dxa"/>
              <w:right w:w="85" w:type="dxa"/>
            </w:tcMar>
          </w:tcPr>
          <w:p>
            <w:pPr>
              <w:spacing w:after="60"/>
            </w:pPr>
            <w:r>
              <w:rPr>
                <w:b w:val="0"/>
                <w:color w:val="000000"/>
                <w:sz w:val="20"/>
              </w:rPr>
              <w:t>Hawaiʻi enacted the initiative with $3 million for implementation. The supplied network plan describes county specialists and neighbor-island memory clinics. [4, 5]</w:t>
            </w:r>
          </w:p>
        </w:tc>
        <w:tc>
          <w:tcPr>
            <w:tcW w:type="dxa" w:w="5040"/>
            <w:vAlign w:val="center"/>
            <w:shd w:fill="F1F4F7"/>
            <w:tcMar>
              <w:top w:w="85" w:type="dxa"/>
              <w:bottom w:w="85" w:type="dxa"/>
              <w:left w:w="85" w:type="dxa"/>
              <w:right w:w="85" w:type="dxa"/>
            </w:tcMar>
          </w:tcPr>
          <w:p>
            <w:pPr>
              <w:spacing w:after="60"/>
            </w:pPr>
            <w:r>
              <w:rPr>
                <w:b w:val="0"/>
                <w:color w:val="000000"/>
                <w:sz w:val="20"/>
              </w:rPr>
              <w:t>Which services are operating, which providers accept referrals, and how will navigation and follow-up be paid for? These require implementation confirmation.</w:t>
            </w:r>
          </w:p>
        </w:tc>
      </w:tr>
    </w:tbl>
    <w:p>
      <w:pPr>
        <w:pStyle w:val="Heading1"/>
      </w:pPr>
      <w:r>
        <w:t>How the initiatives could connect</w:t>
      </w:r>
    </w:p>
    <w:p>
      <w:r>
        <w:t>Testing coverage could increase demand for evaluation. Provider training could strengthen the ability to assess and manage patients. Local service arrangements could help families complete referrals. These connections are implementation opportunities, not benefits automatically created by combining the three initiatives.</w:t>
      </w:r>
    </w:p>
    <w:p>
      <w:pPr>
        <w:pStyle w:val="Heading1"/>
      </w:pPr>
      <w:r>
        <w:t>Immediate staff use</w:t>
      </w:r>
    </w:p>
    <w:p>
      <w:r>
        <w:t>ASAP is on the announced September 15 agenda. AADAPT and Hānai provide relevant implementation context. The hearing notice does not list AADAPT as an agenda item or establish a speaking role for Representative Case. [2]</w:t>
      </w:r>
    </w:p>
    <w:p>
      <w:pPr>
        <w:pStyle w:val="Heading1"/>
      </w:pPr>
      <w:r>
        <w:t>Sources</w:t>
      </w:r>
    </w:p>
    <w:p>
      <w:pPr>
        <w:spacing w:after="60"/>
      </w:pPr>
      <w:r>
        <w:rPr>
          <w:sz w:val="18"/>
        </w:rPr>
        <w:t xml:space="preserve">[1] U.S. Congress. </w:t>
      </w:r>
      <w:hyperlink r:id="rId9">
        <w:r>
          <w:rPr>
            <w:sz w:val="18"/>
            <w:color w:val="215A82"/>
          </w:rPr>
          <w:t>ASAP Act of 2025</w:t>
        </w:r>
      </w:hyperlink>
      <w:r>
        <w:rPr>
          <w:sz w:val="18"/>
        </w:rPr>
        <w:t>. H.R. 6130; introduced November 19, 2025; section 2; version linked in hearing notice.</w:t>
      </w:r>
    </w:p>
    <w:p>
      <w:pPr>
        <w:spacing w:after="60"/>
      </w:pPr>
      <w:r>
        <w:rPr>
          <w:sz w:val="18"/>
        </w:rPr>
        <w:t xml:space="preserve">[2] House Energy and Commerce Committee. </w:t>
      </w:r>
      <w:hyperlink r:id="rId13">
        <w:r>
          <w:rPr>
            <w:sz w:val="18"/>
            <w:color w:val="215A82"/>
          </w:rPr>
          <w:t>Legislative hearing on Medicare provider payment and health care cybersecurity</w:t>
        </w:r>
      </w:hyperlink>
      <w:r>
        <w:rPr>
          <w:sz w:val="18"/>
        </w:rPr>
        <w:t>. Notice September 8, 2026; hearing September 15, 10:15 a.m. ET.</w:t>
      </w:r>
    </w:p>
    <w:p>
      <w:pPr>
        <w:spacing w:after="60"/>
      </w:pPr>
      <w:r>
        <w:rPr>
          <w:sz w:val="18"/>
        </w:rPr>
        <w:t xml:space="preserve">[3] U.S. Congress. </w:t>
      </w:r>
      <w:hyperlink r:id="rId14">
        <w:r>
          <w:rPr>
            <w:sz w:val="18"/>
            <w:color w:val="215A82"/>
          </w:rPr>
          <w:t>AADAPT Act House passed text</w:t>
        </w:r>
      </w:hyperlink>
      <w:r>
        <w:rPr>
          <w:sz w:val="18"/>
        </w:rPr>
        <w:t>. H.R. 3747; engrossed July 20, 2026; section 2.</w:t>
      </w:r>
    </w:p>
    <w:p>
      <w:pPr>
        <w:spacing w:after="60"/>
      </w:pPr>
      <w:r>
        <w:rPr>
          <w:sz w:val="18"/>
        </w:rPr>
        <w:t xml:space="preserve">[4] Office of Governor Josh Green. </w:t>
      </w:r>
      <w:hyperlink r:id="rId11">
        <w:r>
          <w:rPr>
            <w:sz w:val="18"/>
            <w:color w:val="215A82"/>
          </w:rPr>
          <w:t>Gov Green Signs Legislation to Support Kupuna Care and Strengthen AI Protection</w:t>
        </w:r>
      </w:hyperlink>
      <w:r>
        <w:rPr>
          <w:sz w:val="18"/>
        </w:rPr>
        <w:t>. Release July 14, 2026; posted July 15; HB1853, Act 245.</w:t>
      </w:r>
    </w:p>
    <w:p>
      <w:pPr>
        <w:spacing w:after="60"/>
      </w:pPr>
      <w:r>
        <w:rPr>
          <w:sz w:val="18"/>
        </w:rPr>
        <w:t xml:space="preserve">[5] Alzheimer’s Association Hawaiʻi advocacy infographic. </w:t>
      </w:r>
      <w:r>
        <w:rPr>
          <w:sz w:val="18"/>
        </w:rPr>
        <w:t>HANAI Memory Network</w:t>
      </w:r>
      <w:r>
        <w:rPr>
          <w:sz w:val="18"/>
        </w:rPr>
        <w:t>. Uploaded 2025.08.28_Infographic_Supporting_2026_Legislative_Policy_Initiatives_Hawai’i Memory Network.pdf; p. 1; planning material supplied for this meeting.</w:t>
      </w:r>
    </w:p>
    <w:p>
      <w:r>
        <w:br w:type="page"/>
      </w:r>
    </w:p>
    <w:p>
      <w:pPr>
        <w:pStyle w:val="Title"/>
      </w:pPr>
      <w:r>
        <w:t>Hānai as a local implementation example</w:t>
      </w:r>
    </w:p>
    <w:p>
      <w:r>
        <w:rPr>
          <w:sz w:val="18"/>
        </w:rPr>
        <w:t>Prepared by Jerry Perone for Alan Muneoka and Representative Ed Case’s office</w:t>
        <w:br/>
        <w:t>September 14, 2026 at 9 a.m. HST   |   Public-source record through September 12, 2026</w:t>
      </w:r>
    </w:p>
    <w:p>
      <w:r>
        <w:t>This profile documents a Hawaiʻi policy and service-planning example. It can support questions about how additional detection would connect to local dementia care. It is not an individual patient case or an evaluation of outcomes.</w:t>
      </w:r>
    </w:p>
    <w:p>
      <w:pPr>
        <w:pStyle w:val="Heading1"/>
      </w:pPr>
      <w:r>
        <w:t>What the public record establishes</w:t>
      </w:r>
    </w:p>
    <w:p>
      <w:r>
        <w:t>The Governor’s announcement identifies HB 1853 as Act 245 and states that Hānai received $3 million for implementation. This establishes an enacted state initiative with funding. It does not establish the operating status of each planned service. [1]</w:t>
      </w:r>
    </w:p>
    <w:p>
      <w:r>
        <w:t>The supplied August 2025 infographic describes county dementia-care specialists, neighbor-island memory clinics and coordination through the Executive Office on Aging. It outlines a clinical team including a physician or advanced practice registered nurse, a registered nurse and a licensed social worker. It presents state appropriations and Medicaid reimbursement as proposed funding sources. This is planning material, not a reimbursement determination. [2]</w:t>
      </w:r>
    </w:p>
    <w:p>
      <w:pPr>
        <w:pStyle w:val="Heading1"/>
      </w:pPr>
      <w:r>
        <w:t>Why this example is relevant</w:t>
      </w:r>
    </w:p>
    <w:p>
      <w:r>
        <w:t>A new test result creates a practical question for the family: where do we go next? Hānai’s planned local service structure provides a specific setting for examining that question. Staff can ask whether the developing network could connect primary care, evaluation and navigation, while confirming actual provider availability.</w:t>
      </w:r>
    </w:p>
    <w:p>
      <w:pPr>
        <w:pStyle w:val="Heading1"/>
      </w:pPr>
      <w:r>
        <w:t>Information to request from implementation partners</w:t>
      </w:r>
    </w:p>
    <w:p>
      <w:r>
        <w:t>A short operational update could identify participating sites and their opening dates, the referral contact for each site, eligibility and accepted coverage, and the role responsible for helping families complete follow-up. Any reported waiting time should specify its period, population and source.</w:t>
      </w:r>
    </w:p>
    <w:p>
      <w:pPr>
        <w:pStyle w:val="Heading1"/>
      </w:pPr>
      <w:r>
        <w:t>Focused question for staff consideration</w:t>
      </w:r>
    </w:p>
    <w:p>
      <w:r>
        <w:t>“What federal payment or program arrangements could complement Hānai’s state-funded work, and what information do agencies need about its service model before determining eligibility or reimbursement?”</w:t>
      </w:r>
    </w:p>
    <w:p>
      <w:pPr>
        <w:pStyle w:val="Heading1"/>
      </w:pPr>
      <w:r>
        <w:t>A useful next product</w:t>
      </w:r>
    </w:p>
    <w:p>
      <w:r>
        <w:t>An operational referral sheet confirmed by the appropriate state office and participating providers would make this example more useful. That sheet requires their confirmation; the enacted funding and supplied plan are the documented starting points.</w:t>
      </w:r>
    </w:p>
    <w:p>
      <w:pPr>
        <w:pStyle w:val="Heading1"/>
      </w:pPr>
      <w:r>
        <w:t>Sources</w:t>
      </w:r>
    </w:p>
    <w:p>
      <w:pPr>
        <w:spacing w:after="60"/>
      </w:pPr>
      <w:r>
        <w:rPr>
          <w:sz w:val="18"/>
        </w:rPr>
        <w:t xml:space="preserve">[1] Office of Governor Josh Green. </w:t>
      </w:r>
      <w:hyperlink r:id="rId11">
        <w:r>
          <w:rPr>
            <w:sz w:val="18"/>
            <w:color w:val="215A82"/>
          </w:rPr>
          <w:t>Gov Green Signs Legislation to Support Kupuna Care and Strengthen AI Protection</w:t>
        </w:r>
      </w:hyperlink>
      <w:r>
        <w:rPr>
          <w:sz w:val="18"/>
        </w:rPr>
        <w:t>. Release July 14, 2026; posted July 15; HB1853, Act 245.</w:t>
      </w:r>
    </w:p>
    <w:p>
      <w:pPr>
        <w:spacing w:after="60"/>
      </w:pPr>
      <w:r>
        <w:rPr>
          <w:sz w:val="18"/>
        </w:rPr>
        <w:t xml:space="preserve">[2] Alzheimer’s Association Hawaiʻi advocacy infographic. </w:t>
      </w:r>
      <w:r>
        <w:rPr>
          <w:sz w:val="18"/>
        </w:rPr>
        <w:t>HANAI Memory Network</w:t>
      </w:r>
      <w:r>
        <w:rPr>
          <w:sz w:val="18"/>
        </w:rPr>
        <w:t>. Uploaded 2025.08.28_Infographic_Supporting_2026_Legislative_Policy_Initiatives_Hawai’i Memory Network.pdf; p. 1; planning material supplied for this meeting.</w:t>
      </w:r>
    </w:p>
    <w:p>
      <w:r>
        <w:br w:type="page"/>
      </w:r>
    </w:p>
    <w:p>
      <w:pPr>
        <w:pStyle w:val="Title"/>
      </w:pPr>
      <w:r>
        <w:t>Kūpuna Support Navigator program example</w:t>
      </w:r>
    </w:p>
    <w:p>
      <w:r>
        <w:rPr>
          <w:sz w:val="18"/>
        </w:rPr>
        <w:t>Prepared by Jerry Perone for Alan Muneoka and Representative Ed Case’s office</w:t>
        <w:br/>
        <w:t>September 14, 2026 at 9 a.m. HST   |   Public-source record through September 12, 2026</w:t>
      </w:r>
    </w:p>
    <w:p>
      <w:r>
        <w:t>This profile documents a local investment in navigation and an identified evaluation partner. It gives staff a concrete program to examine when asking how families complete referrals. The program supports broader aging and caregiving needs, rather than dementia alone.</w:t>
      </w:r>
    </w:p>
    <w:p>
      <w:pPr>
        <w:pStyle w:val="Heading1"/>
      </w:pPr>
      <w:r>
        <w:t>What the public record establishes</w:t>
      </w:r>
    </w:p>
    <w:p>
      <w:r>
        <w:t>In the December 2022 final FY2023 federal funding package, Representative Case announced $1.8 million for Hawaiʻi Public Health Institute to develop and train navigators supporting kūpuna and family caregivers. [1]</w:t>
      </w:r>
    </w:p>
    <w:p>
      <w:r>
        <w:t>The University of Hawaiʻi at Mānoa Center on Aging describes the Kūpuna Support Navigator program and its evaluation work, credits Case’s office, and discusses referrals and follow-up. The page identifies an evaluation resource. It does not, by itself, establish a dementia-specific clinical effect or a return on investment. [2]</w:t>
      </w:r>
    </w:p>
    <w:p>
      <w:pPr>
        <w:pStyle w:val="Heading1"/>
      </w:pPr>
      <w:r>
        <w:t>Relevance to the dementia discussion</w:t>
      </w:r>
    </w:p>
    <w:p>
      <w:r>
        <w:t>Navigation may help a family understand a referral, identify a service and follow through. The factual question is what this program has learned about completing those steps. Its training and evaluation experience may inform a future dementia-care partnership, subject to the program’s scope, capacity and funding terms.</w:t>
      </w:r>
    </w:p>
    <w:p>
      <w:pPr>
        <w:pStyle w:val="Heading1"/>
      </w:pPr>
      <w:r>
        <w:t>A precise request to the evaluation team</w:t>
      </w:r>
    </w:p>
    <w:p>
      <w:r>
        <w:t>“Do existing evaluation findings identify the number of referrals made and completed, the period covered, and the most common reasons for noncompletion? Can you distinguish dementia-related referrals, if that information was collected?”</w:t>
      </w:r>
    </w:p>
    <w:p>
      <w:r>
        <w:t>The denominator matters. A completion percentage should identify which referrals were eligible for follow-up, how completion was confirmed, and how missing information was handled. One family’s experience cannot establish a statewide rate.</w:t>
      </w:r>
    </w:p>
    <w:p>
      <w:pPr>
        <w:pStyle w:val="Heading1"/>
      </w:pPr>
      <w:r>
        <w:t>What staff could use now</w:t>
      </w:r>
    </w:p>
    <w:p>
      <w:r>
        <w:t>The confirmed appropriation and identified program provide a documented local example. A short evaluator response could add evidence about referral barriers. Until those findings are available, the profile should not attribute reduced hospitalization, cost savings or improved clinical outcomes to the program.</w:t>
      </w:r>
    </w:p>
    <w:p>
      <w:pPr>
        <w:pStyle w:val="Heading1"/>
      </w:pPr>
      <w:r>
        <w:t>Possible follow up</w:t>
      </w:r>
    </w:p>
    <w:p>
      <w:r>
        <w:t>Ask the program or evaluation team for an existing published summary or a shareable finding. Any proposed link to Hānai or another federal model would require the relevant organizations to confirm feasibility.</w:t>
      </w:r>
    </w:p>
    <w:p>
      <w:pPr>
        <w:pStyle w:val="Heading1"/>
      </w:pPr>
      <w:r>
        <w:t>Sources</w:t>
      </w:r>
    </w:p>
    <w:p>
      <w:pPr>
        <w:spacing w:after="60"/>
      </w:pPr>
      <w:r>
        <w:rPr>
          <w:sz w:val="18"/>
        </w:rPr>
        <w:t xml:space="preserve">[1] Office of Representative Ed Case. </w:t>
      </w:r>
      <w:hyperlink r:id="rId15">
        <w:r>
          <w:rPr>
            <w:sz w:val="18"/>
            <w:color w:val="215A82"/>
          </w:rPr>
          <w:t>Case Secures More Than 94 Million For Local Community Projects In Final Federal Funding Package</w:t>
        </w:r>
      </w:hyperlink>
      <w:r>
        <w:rPr>
          <w:sz w:val="18"/>
        </w:rPr>
        <w:t>. December 23, 2022; FY2023; Hawaiʻi Public Health Institute project.</w:t>
      </w:r>
    </w:p>
    <w:p>
      <w:pPr>
        <w:spacing w:after="60"/>
      </w:pPr>
      <w:r>
        <w:rPr>
          <w:sz w:val="18"/>
        </w:rPr>
        <w:t xml:space="preserve">[2] University of Hawaiʻi at Mānoa Center on Aging. </w:t>
      </w:r>
      <w:hyperlink r:id="rId16">
        <w:r>
          <w:rPr>
            <w:sz w:val="18"/>
            <w:color w:val="215A82"/>
          </w:rPr>
          <w:t>Kupuna Support Navigator Program</w:t>
        </w:r>
      </w:hyperlink>
      <w:r>
        <w:rPr>
          <w:sz w:val="18"/>
        </w:rPr>
        <w:t>. Undated program evaluation page; FY23 community-funded project.</w:t>
      </w:r>
    </w:p>
    <w:p>
      <w:r>
        <w:br w:type="page"/>
      </w:r>
    </w:p>
    <w:p>
      <w:pPr>
        <w:pStyle w:val="Title"/>
      </w:pPr>
      <w:r>
        <w:t>Questions for staff consideration</w:t>
      </w:r>
    </w:p>
    <w:p>
      <w:r>
        <w:rPr>
          <w:sz w:val="18"/>
        </w:rPr>
        <w:t>Prepared by Jerry Perone for Alan Muneoka and Representative Ed Case’s office</w:t>
        <w:br/>
        <w:t>September 14, 2026 at 9 a.m. HST   |   Public-source record through September 12, 2026</w:t>
      </w:r>
    </w:p>
    <w:p>
      <w:r>
        <w:t>Prepared for the September 14 discussion ahead of the September 15 Energy and Commerce Health Subcommittee hearing. These are proposed questions for staff to adapt. The first two address ASAP implementation. The final question establishes a useful route for any additional evidence.</w:t>
      </w:r>
    </w:p>
    <w:p>
      <w:pPr>
        <w:pStyle w:val="Heading1"/>
      </w:pPr>
      <w:r>
        <w:t>1  Follow up after an abnormal result</w:t>
      </w:r>
    </w:p>
    <w:p>
      <w:r>
        <w:t>“If ASAP expands access to testing, what existing Medicare benefit or care model would support follow-up after an abnormal result, and what gaps would remain for patients in communities with limited specialist access?”</w:t>
      </w:r>
    </w:p>
    <w:p>
      <w:r>
        <w:t>Answer sought: the available service or payment mechanism, who delivers it, and the remaining gap. The attached brief supplies GAO evidence on use of the specific cognitive assessment and care-planning service. The Hānai profile supplies a documented local planning example. [1, 2]</w:t>
      </w:r>
    </w:p>
    <w:p>
      <w:pPr>
        <w:pStyle w:val="Heading1"/>
      </w:pPr>
      <w:r>
        <w:t>2  Preparation before implementation</w:t>
      </w:r>
    </w:p>
    <w:p>
      <w:r>
        <w:t>“Given the introduced bill’s January 2028 start date, what guidance and provider preparation would CMS need to complete beforehand, particularly concerning qualifying tests, appropriate use and referral arrangements?”</w:t>
      </w:r>
    </w:p>
    <w:p>
      <w:r>
        <w:t>Answer sought: the implementation tasks, the responsible entities, and any issue requiring legislative clarification. This question does not assume the proposed date will survive amendments or that every currently available test would qualify. [1]</w:t>
      </w:r>
    </w:p>
    <w:p>
      <w:pPr>
        <w:pStyle w:val="Heading1"/>
      </w:pPr>
      <w:r>
        <w:t>3  A useful contribution from Hawaiʻi</w:t>
      </w:r>
    </w:p>
    <w:p>
      <w:r>
        <w:t>“Which of these materials would help the sponsor or committee staff now, who should receive it, and what deadline or submission process applies?”</w:t>
      </w:r>
    </w:p>
    <w:p>
      <w:r>
        <w:t>Answer sought: a named recipient, an agreed product and an actual deadline. Monday’s 9 a.m. HST meeting begins at 3 p.m. Eastern. Tuesday’s hearing is scheduled for 10:15 a.m. Eastern, or 4:15 a.m. HST. The notice establishes the hearing and ASAP agenda entry; it does not establish an open submission deadline. [3]</w:t>
      </w:r>
    </w:p>
    <w:p>
      <w:pPr>
        <w:pStyle w:val="Heading1"/>
      </w:pPr>
      <w:r>
        <w:t>If a firsthand account is requested</w:t>
      </w:r>
    </w:p>
    <w:p>
      <w:r>
        <w:t>A family or clinician account would require confirmed dates and facts, a clear description of the barrier, and permission to share. No individual patient account is presented in this packet. The two local profiles document programs and policy.</w:t>
      </w:r>
    </w:p>
    <w:p>
      <w:pPr>
        <w:pStyle w:val="Heading1"/>
      </w:pPr>
      <w:r>
        <w:t>Sources</w:t>
      </w:r>
    </w:p>
    <w:p>
      <w:pPr>
        <w:spacing w:after="60"/>
      </w:pPr>
      <w:r>
        <w:rPr>
          <w:sz w:val="18"/>
        </w:rPr>
        <w:t xml:space="preserve">[1] U.S. Congress. </w:t>
      </w:r>
      <w:hyperlink r:id="rId9">
        <w:r>
          <w:rPr>
            <w:sz w:val="18"/>
            <w:color w:val="215A82"/>
          </w:rPr>
          <w:t>ASAP Act of 2025</w:t>
        </w:r>
      </w:hyperlink>
      <w:r>
        <w:rPr>
          <w:sz w:val="18"/>
        </w:rPr>
        <w:t>. H.R. 6130; introduced November 19, 2025; section 2; version linked in hearing notice.</w:t>
      </w:r>
    </w:p>
    <w:p>
      <w:pPr>
        <w:spacing w:after="60"/>
      </w:pPr>
      <w:r>
        <w:rPr>
          <w:sz w:val="18"/>
        </w:rPr>
        <w:t xml:space="preserve">[2] U.S. Government Accountability Office. </w:t>
      </w:r>
      <w:hyperlink r:id="rId10">
        <w:r>
          <w:rPr>
            <w:sz w:val="18"/>
            <w:color w:val="215A82"/>
          </w:rPr>
          <w:t>Medicare Cognitive Assessments Utilization Tripled between 2018 and 2022 but Challenges Remain</w:t>
        </w:r>
      </w:hyperlink>
      <w:r>
        <w:rPr>
          <w:sz w:val="18"/>
        </w:rPr>
        <w:t>. GAO-24-106328; December 11, 2023; 2021 utilization estimate.</w:t>
      </w:r>
    </w:p>
    <w:p>
      <w:pPr>
        <w:spacing w:after="60"/>
      </w:pPr>
      <w:r>
        <w:rPr>
          <w:sz w:val="18"/>
        </w:rPr>
        <w:t xml:space="preserve">[3] House Energy and Commerce Committee. </w:t>
      </w:r>
      <w:hyperlink r:id="rId13">
        <w:r>
          <w:rPr>
            <w:sz w:val="18"/>
            <w:color w:val="215A82"/>
          </w:rPr>
          <w:t>Legislative hearing on Medicare provider payment and health care cybersecurity</w:t>
        </w:r>
      </w:hyperlink>
      <w:r>
        <w:rPr>
          <w:sz w:val="18"/>
        </w:rPr>
        <w:t>. Notice September 8, 2026; hearing September 15, 10:15 a.m. ET.</w:t>
      </w:r>
    </w:p>
    <w:sectPr w:rsidR="00FC693F" w:rsidRPr="0006063C" w:rsidSect="00034616">
      <w:footerReference w:type="default" r:id="rId12"/>
      <w:pgSz w:w="12240" w:h="15840"/>
      <w:pgMar w:top="893"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Jerry Perone   •   Page </w:t>
    </w:r>
    <w:fldSimple w:instr="PAGE"/>
    <w:r>
      <w:rPr>
        <w:sz w:val="18"/>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line="245"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2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5"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vinfo.gov/content/pkg/BILLS-119hr6130ih/html/BILLS-119hr6130ih.htm" TargetMode="External"/><Relationship Id="rId10" Type="http://schemas.openxmlformats.org/officeDocument/2006/relationships/hyperlink" Target="https://www.gao.gov/products/gao-24-106328" TargetMode="External"/><Relationship Id="rId11" Type="http://schemas.openxmlformats.org/officeDocument/2006/relationships/hyperlink" Target="https://governor.hawaii.gov/newsroom/office-of-the-governor-news-release-gov-green-signs-legislation-to-support-kupuna-care-and-strengthen-ai-protection/" TargetMode="External"/><Relationship Id="rId12" Type="http://schemas.openxmlformats.org/officeDocument/2006/relationships/footer" Target="footer1.xml"/><Relationship Id="rId13" Type="http://schemas.openxmlformats.org/officeDocument/2006/relationships/hyperlink" Target="https://republicans-energycommerce.house.gov/posts/chairmen-guthrie-and-griffith-announce-legislative-hearing-to-address-medicare-provider-payment-challenges-and-bolster-cybersecurity-in-american-health-care" TargetMode="External"/><Relationship Id="rId14" Type="http://schemas.openxmlformats.org/officeDocument/2006/relationships/hyperlink" Target="https://www.govinfo.gov/content/pkg/BILLS-119hr3747eh/html/BILLS-119hr3747eh.htm" TargetMode="External"/><Relationship Id="rId15" Type="http://schemas.openxmlformats.org/officeDocument/2006/relationships/hyperlink" Target="https://case.house.gov/news/documentsingle.aspx?DocumentID=1020" TargetMode="External"/><Relationship Id="rId16" Type="http://schemas.openxmlformats.org/officeDocument/2006/relationships/hyperlink" Target="https://manoa.hawaii.edu/aging/k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Dementia Evidence and Staff Questions</dc:title>
  <dc:subject/>
  <dc:creator>Jerry Perone</dc:creator>
  <cp:keywords/>
  <dc:description>generated by python-docx</dc:description>
  <cp:lastModifiedBy/>
  <cp:revision>1</cp:revision>
  <dcterms:created xsi:type="dcterms:W3CDTF">2013-12-23T23:15:00Z</dcterms:created>
  <dcterms:modified xsi:type="dcterms:W3CDTF">2013-12-23T23:15:00Z</dcterms:modified>
  <cp:category/>
</cp:coreProperties>
</file>