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Dementia Technology Support</w:t>
        <w:br/>
        <w:t>Business Feasibility Study</w:t>
      </w:r>
    </w:p>
    <w:p>
      <w:pPr>
        <w:pStyle w:val="Subtitle"/>
      </w:pPr>
      <w:r>
        <w:rPr>
          <w:b w:val="0"/>
        </w:rPr>
        <w:t>Hawaii and opportunities for service across the Pacific</w:t>
      </w:r>
    </w:p>
    <w:p>
      <w:r>
        <w:rPr>
          <w:b w:val="0"/>
        </w:rPr>
        <w:t>Prepared for Jerry Perone</w:t>
        <w:br/>
        <w:t>September 12, 2026</w:t>
      </w:r>
    </w:p>
    <w:p>
      <w:pPr>
        <w:pStyle w:val="Heading2"/>
      </w:pPr>
      <w:r>
        <w:t>Executive assessment</w:t>
      </w:r>
    </w:p>
    <w:p>
      <w:r>
        <w:rPr>
          <w:b w:val="0"/>
        </w:rPr>
      </w:r>
      <w:r>
        <w:rPr>
          <w:b/>
        </w:rPr>
        <w:t>Proceed with a limited, paid pilot.</w:t>
      </w:r>
      <w:r>
        <w:rPr>
          <w:b w:val="0"/>
        </w:rPr>
        <w:t xml:space="preserve"> Hawaiʻi has enough underlying need to justify testing a small business that helps people living with dementia and their caregivers choose technology, get it working, and keep using it. Commercial viability depends on affordable support delivery and reliable referral or sponsorship agreements. Population need alone does not demonstrate paying demand.</w:t>
      </w:r>
    </w:p>
    <w:p>
      <w:r>
        <w:rPr>
          <w:b w:val="0"/>
        </w:rPr>
        <w:t>The most promising offer combines a household assessment, installation, caregiver practice, and continuing technical assistance. Wearables are part of the service. A simpler telephone, a door alert, or better use of a device already owned may solve the family’s problem more effectively than another watch.</w:t>
      </w:r>
    </w:p>
    <w:p>
      <w:r>
        <w:rPr>
          <w:b w:val="0"/>
        </w:rPr>
      </w:r>
      <w:r>
        <w:rPr>
          <w:b/>
        </w:rPr>
        <w:t>Insurance can pay for some qualifying equipment and services.</w:t>
      </w:r>
      <w:r>
        <w:rPr>
          <w:b w:val="0"/>
        </w:rPr>
        <w:t xml:space="preserve"> Original Medicare generally does not buy ordinary GPS trackers, consumer smartwatches, or general technical support. Hawaiʻi QUEST offers a more direct opportunity for qualifying emergency response services. Medicare-funded work is more plausible through an existing clinical provider or GUIDE participant. [3–11]</w:t>
      </w:r>
    </w:p>
    <w:tbl>
      <w:tblPr>
        <w:tblW w:type="auto" w:w="0"/>
        <w:jc w:val="center"/>
        <w:tblLayout w:type="fixed"/>
        <w:tblLook w:firstColumn="1" w:firstRow="1" w:lastColumn="0" w:lastRow="0" w:noHBand="0" w:noVBand="1" w:val="04A0"/>
      </w:tblPr>
      <w:tblGrid>
        <w:gridCol w:w="2304"/>
        <w:gridCol w:w="7862"/>
      </w:tblGrid>
      <w:tr>
        <w:trPr>
          <w:tblHeader/>
          <w:cantSplit/>
        </w:trPr>
        <w:tc>
          <w:tcPr>
            <w:tcW w:type="dxa" w:w="2304"/>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Decision area</w:t>
            </w:r>
          </w:p>
        </w:tc>
        <w:tc>
          <w:tcPr>
            <w:tcW w:type="dxa" w:w="7862"/>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Assessment</w:t>
            </w:r>
          </w:p>
        </w:tc>
      </w:tr>
      <w:tr>
        <w:trPr>
          <w:cantSplit/>
        </w:trPr>
        <w:tc>
          <w:tcPr>
            <w:tcW w:type="dxa" w:w="2304"/>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Underlying need</w:t>
            </w:r>
          </w:p>
        </w:tc>
        <w:tc>
          <w:tcPr>
            <w:tcW w:type="dxa" w:w="7862"/>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Strong enough to justify a pilot; willingness to pay remains unmeasured.</w:t>
            </w:r>
          </w:p>
        </w:tc>
      </w:tr>
      <w:tr>
        <w:trPr>
          <w:cantSplit/>
        </w:trPr>
        <w:tc>
          <w:tcPr>
            <w:tcW w:type="dxa" w:w="2304"/>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Recommended first market</w:t>
            </w:r>
          </w:p>
        </w:tc>
        <w:tc>
          <w:tcPr>
            <w:tcW w:type="dxa" w:w="7862"/>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Oʻahu households, with a small neighbor island cohort served through a local partner.</w:t>
            </w:r>
          </w:p>
        </w:tc>
      </w:tr>
      <w:tr>
        <w:trPr>
          <w:cantSplit/>
        </w:trPr>
        <w:tc>
          <w:tcPr>
            <w:tcW w:type="dxa" w:w="2304"/>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Best revenue mix</w:t>
            </w:r>
          </w:p>
        </w:tc>
        <w:tc>
          <w:tcPr>
            <w:tcW w:type="dxa" w:w="7862"/>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Family payments, sponsored households, and contracted services for care organizations.</w:t>
            </w:r>
          </w:p>
        </w:tc>
      </w:tr>
      <w:tr>
        <w:trPr>
          <w:cantSplit/>
        </w:trPr>
        <w:tc>
          <w:tcPr>
            <w:tcW w:type="dxa" w:w="2304"/>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Initial investment decision</w:t>
            </w:r>
          </w:p>
        </w:tc>
        <w:tc>
          <w:tcPr>
            <w:tcW w:type="dxa" w:w="7862"/>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Cap a 90-day pilot at $12,000–$18,000 before committing to a larger operation.</w:t>
            </w:r>
          </w:p>
        </w:tc>
      </w:tr>
      <w:tr>
        <w:trPr>
          <w:cantSplit/>
        </w:trPr>
        <w:tc>
          <w:tcPr>
            <w:tcW w:type="dxa" w:w="2304"/>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Primary commercial risk</w:t>
            </w:r>
          </w:p>
        </w:tc>
        <w:tc>
          <w:tcPr>
            <w:tcW w:type="dxa" w:w="7862"/>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Support and travel take more time than the price can sustain.</w:t>
            </w:r>
          </w:p>
        </w:tc>
      </w:tr>
    </w:tbl>
    <w:p>
      <w:pPr>
        <w:spacing w:after="60" w:line="40" w:lineRule="exact"/>
      </w:pPr>
      <w:r>
        <w:rPr>
          <w:b w:val="0"/>
          <w:sz w:val="4"/>
        </w:rPr>
      </w:r>
    </w:p>
    <w:p>
      <w:r>
        <w:rPr>
          <w:b w:val="0"/>
        </w:rPr>
        <w:t>The proposed prices, customer counts, costs, and decision thresholds in this study are planning assumptions, not supplier quotations, reimbursement rates, or a sales forecast. No caregiver interviews, carrier tests, or contract negotiations have yet validated them. Sources were reviewed September 11–12, 2026. Numbered references link to the underlying publications.</w:t>
      </w:r>
    </w:p>
    <w:p>
      <w:r>
        <w:br w:type="page"/>
      </w:r>
    </w:p>
    <w:p>
      <w:pPr>
        <w:pStyle w:val="Heading1"/>
      </w:pPr>
      <w:r>
        <w:t>Demand in Hawaii</w:t>
      </w:r>
    </w:p>
    <w:p>
      <w:r>
        <w:rPr>
          <w:b w:val="0"/>
        </w:rPr>
        <w:t xml:space="preserve">The Alzheimer’s Association’s 2026 Hawaiʻi fact sheet lists </w:t>
      </w:r>
      <w:r>
        <w:rPr>
          <w:b/>
        </w:rPr>
        <w:t>31,200 residents age 65 and older with Alzheimer’s</w:t>
      </w:r>
      <w:r>
        <w:rPr>
          <w:b w:val="0"/>
        </w:rPr>
        <w:t xml:space="preserve">, but labels that prevalence estimate as </w:t>
      </w:r>
      <w:r>
        <w:rPr>
          <w:b/>
        </w:rPr>
        <w:t>2020 data</w:t>
      </w:r>
      <w:r>
        <w:rPr>
          <w:b w:val="0"/>
        </w:rPr>
        <w:t>. It also reports 62,000 unpaid caregivers, 111 million hours of care, and $3.3 billion in annual unpaid care value. These figures establish the scale of the problem; the 31,200 figure must not be presented as a new 2026 census. [1]</w:t>
      </w:r>
    </w:p>
    <w:p>
      <w:r>
        <w:rPr>
          <w:b w:val="0"/>
        </w:rPr>
        <w:t>The proposed service would also accept households affected by vascular dementia, Lewy body dementia, frontotemporal dementia, mixed dementia, and younger-onset disease. These groups are not added numerically here because diagnoses overlap and a comparable current statewide total has not been established for this model.</w:t>
      </w:r>
    </w:p>
    <w:p>
      <w:pPr>
        <w:pStyle w:val="Heading2"/>
      </w:pPr>
      <w:r>
        <w:t>A cautious estimate of the addressable market</w:t>
      </w:r>
    </w:p>
    <w:tbl>
      <w:tblPr>
        <w:tblW w:type="auto" w:w="0"/>
        <w:jc w:val="center"/>
        <w:tblLayout w:type="fixed"/>
        <w:tblLook w:firstColumn="1" w:firstRow="1" w:lastColumn="0" w:lastRow="0" w:noHBand="0" w:noVBand="1" w:val="04A0"/>
      </w:tblPr>
      <w:tblGrid>
        <w:gridCol w:w="2131"/>
        <w:gridCol w:w="3917"/>
        <w:gridCol w:w="4118"/>
      </w:tblGrid>
      <w:tr>
        <w:trPr>
          <w:tblHeader/>
          <w:cantSplit/>
        </w:trPr>
        <w:tc>
          <w:tcPr>
            <w:tcW w:type="dxa" w:w="2131"/>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Market measure</w:t>
            </w:r>
          </w:p>
        </w:tc>
        <w:tc>
          <w:tcPr>
            <w:tcW w:type="dxa" w:w="3917"/>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Illustrative calculation</w:t>
            </w:r>
          </w:p>
        </w:tc>
        <w:tc>
          <w:tcPr>
            <w:tcW w:type="dxa" w:w="4118"/>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Interpretation</w:t>
            </w:r>
          </w:p>
        </w:tc>
      </w:tr>
      <w:tr>
        <w:trPr>
          <w:cantSplit/>
        </w:trPr>
        <w:tc>
          <w:tcPr>
            <w:tcW w:type="dxa" w:w="2131"/>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Underlying population</w:t>
            </w:r>
          </w:p>
        </w:tc>
        <w:tc>
          <w:tcPr>
            <w:tcW w:type="dxa" w:w="3917"/>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31,200 older adults with Alzheimer’s</w:t>
            </w:r>
          </w:p>
        </w:tc>
        <w:tc>
          <w:tcPr>
            <w:tcW w:type="dxa" w:w="4118"/>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A documented reference population, not a customer count.</w:t>
            </w:r>
          </w:p>
        </w:tc>
      </w:tr>
      <w:tr>
        <w:trPr>
          <w:cantSplit/>
        </w:trPr>
        <w:tc>
          <w:tcPr>
            <w:tcW w:type="dxa" w:w="2131"/>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Households potentially suitable</w:t>
            </w:r>
          </w:p>
        </w:tc>
        <w:tc>
          <w:tcPr>
            <w:tcW w:type="dxa" w:w="3917"/>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31,200 × 65%–80% living in community × 50%–70% fit = 10,140–17,472</w:t>
            </w:r>
          </w:p>
        </w:tc>
        <w:tc>
          <w:tcPr>
            <w:tcW w:type="dxa" w:w="4118"/>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Both percentages are assumptions. Fit includes caregiver participation, connectivity and practical need.</w:t>
            </w:r>
          </w:p>
        </w:tc>
      </w:tr>
      <w:tr>
        <w:trPr>
          <w:cantSplit/>
        </w:trPr>
        <w:tc>
          <w:tcPr>
            <w:tcW w:type="dxa" w:w="2131"/>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Potential paying or sponsored users</w:t>
            </w:r>
          </w:p>
        </w:tc>
        <w:tc>
          <w:tcPr>
            <w:tcW w:type="dxa" w:w="3917"/>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Suitable group × 5%–15% = about 507–2,621</w:t>
            </w:r>
          </w:p>
        </w:tc>
        <w:tc>
          <w:tcPr>
            <w:tcW w:type="dxa" w:w="4118"/>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An unvalidated adoption range across the state, not first-year demand.</w:t>
            </w:r>
          </w:p>
        </w:tc>
      </w:tr>
      <w:tr>
        <w:trPr>
          <w:cantSplit/>
        </w:trPr>
        <w:tc>
          <w:tcPr>
            <w:tcW w:type="dxa" w:w="2131"/>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First-year operating target</w:t>
            </w:r>
          </w:p>
        </w:tc>
        <w:tc>
          <w:tcPr>
            <w:tcW w:type="dxa" w:w="3917"/>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120 household setups; about 97 active at year end</w:t>
            </w:r>
          </w:p>
        </w:tc>
        <w:tc>
          <w:tcPr>
            <w:tcW w:type="dxa" w:w="4118"/>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Model assumes ten starts per month and 4% monthly attrition; see financial section.</w:t>
            </w:r>
          </w:p>
        </w:tc>
      </w:tr>
    </w:tbl>
    <w:p>
      <w:pPr>
        <w:spacing w:after="60" w:line="40" w:lineRule="exact"/>
      </w:pPr>
      <w:r>
        <w:rPr>
          <w:b w:val="0"/>
          <w:sz w:val="4"/>
        </w:rPr>
      </w:r>
    </w:p>
    <w:p>
      <w:r>
        <w:rPr>
          <w:b w:val="0"/>
        </w:rPr>
        <w:t>One person with dementia is treated as one potential household account for planning. That approximation can overcount households with two affected residents. Several caregivers may support the same person, so the 62,000 caregiver count is not added to the patient count. No market value is assigned to the total unpaid care burden.</w:t>
      </w:r>
    </w:p>
    <w:p>
      <w:pPr>
        <w:pStyle w:val="Heading2"/>
      </w:pPr>
      <w:r>
        <w:t>Who is most likely to purchase</w:t>
      </w:r>
    </w:p>
    <w:p>
      <w:r>
        <w:rPr>
          <w:b w:val="0"/>
        </w:rPr>
        <w:t>The strongest early customer hypothesis is an adult child or spouse managing a specific problem: a recent getting-lost incident, repeated unanswered calls, missed device charging, or difficulty coordinating relatives on different islands. An adult child living away may pay, but someone near the person with dementia still needs to respond and perform physical tasks.</w:t>
      </w:r>
    </w:p>
    <w:p>
      <w:r>
        <w:rPr>
          <w:b w:val="0"/>
        </w:rPr>
        <w:t>Families with limited income may have the greatest need and the least capacity to subscribe. Plan-funded or sponsored accounts are therefore central to both access and growth. Demand discovery must include these families and those who decline technology, rather than sampling only digitally confident caregivers.</w:t>
      </w:r>
    </w:p>
    <w:p>
      <w:r>
        <w:br w:type="page"/>
      </w:r>
    </w:p>
    <w:p>
      <w:pPr>
        <w:pStyle w:val="Heading1"/>
      </w:pPr>
      <w:r>
        <w:t>The service families would buy</w:t>
      </w:r>
    </w:p>
    <w:p>
      <w:r>
        <w:rPr>
          <w:b w:val="0"/>
        </w:rPr>
        <w:t>Sell a completed, usable arrangement: the chosen device works in the home, the right people receive its messages, and the caregiver knows what to do. Each household receives a plain-language technology plan, a named support contact, and an agreed boundary between technical help and emergency or medical care.</w:t>
      </w:r>
    </w:p>
    <w:tbl>
      <w:tblPr>
        <w:tblW w:type="auto" w:w="0"/>
        <w:jc w:val="center"/>
        <w:tblLayout w:type="fixed"/>
        <w:tblLook w:firstColumn="1" w:firstRow="1" w:lastColumn="0" w:lastRow="0" w:noHBand="0" w:noVBand="1" w:val="04A0"/>
      </w:tblPr>
      <w:tblGrid>
        <w:gridCol w:w="2448"/>
        <w:gridCol w:w="7718"/>
      </w:tblGrid>
      <w:tr>
        <w:trPr>
          <w:tblHeader/>
          <w:cantSplit/>
        </w:trPr>
        <w:tc>
          <w:tcPr>
            <w:tcW w:type="dxa" w:w="2448"/>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Service</w:t>
            </w:r>
          </w:p>
        </w:tc>
        <w:tc>
          <w:tcPr>
            <w:tcW w:type="dxa" w:w="7718"/>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Concrete deliverable</w:t>
            </w:r>
          </w:p>
        </w:tc>
      </w:tr>
      <w:tr>
        <w:trPr>
          <w:cantSplit/>
        </w:trPr>
        <w:tc>
          <w:tcPr>
            <w:tcW w:type="dxa" w:w="2448"/>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Assessment and selection</w:t>
            </w:r>
          </w:p>
        </w:tc>
        <w:tc>
          <w:tcPr>
            <w:tcW w:type="dxa" w:w="7718"/>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Inventory existing devices; identify one priority; review budget, user preferences, caregiver availability, language and connectivity.</w:t>
            </w:r>
          </w:p>
        </w:tc>
      </w:tr>
      <w:tr>
        <w:trPr>
          <w:cantSplit/>
        </w:trPr>
        <w:tc>
          <w:tcPr>
            <w:tcW w:type="dxa" w:w="2448"/>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Setup and installation</w:t>
            </w:r>
          </w:p>
        </w:tc>
        <w:tc>
          <w:tcPr>
            <w:tcW w:type="dxa" w:w="7718"/>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Configure accounts and permissions, connect equipment, set notifications and charging routines, and perform manufacturer-approved function checks.</w:t>
            </w:r>
          </w:p>
        </w:tc>
      </w:tr>
      <w:tr>
        <w:trPr>
          <w:cantSplit/>
        </w:trPr>
        <w:tc>
          <w:tcPr>
            <w:tcW w:type="dxa" w:w="2448"/>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Caregiver training</w:t>
            </w:r>
          </w:p>
        </w:tc>
        <w:tc>
          <w:tcPr>
            <w:tcW w:type="dxa" w:w="7718"/>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Practice the actual tasks with the primary caregiver and a backup. Provide large-print instructions and telephone follow-up.</w:t>
            </w:r>
          </w:p>
        </w:tc>
      </w:tr>
      <w:tr>
        <w:trPr>
          <w:cantSplit/>
        </w:trPr>
        <w:tc>
          <w:tcPr>
            <w:tcW w:type="dxa" w:w="2448"/>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Ongoing assistance</w:t>
            </w:r>
          </w:p>
        </w:tc>
        <w:tc>
          <w:tcPr>
            <w:tcW w:type="dxa" w:w="7718"/>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Troubleshooting, update assistance, periodic function checks, and retraining when caregivers or devices change.</w:t>
            </w:r>
          </w:p>
        </w:tc>
      </w:tr>
      <w:tr>
        <w:trPr>
          <w:cantSplit/>
        </w:trPr>
        <w:tc>
          <w:tcPr>
            <w:tcW w:type="dxa" w:w="2448"/>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Reassessment and closure</w:t>
            </w:r>
          </w:p>
        </w:tc>
        <w:tc>
          <w:tcPr>
            <w:tcW w:type="dxa" w:w="7718"/>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Adjust the arrangement as needs change; transfer account access and cancel unnecessary subscriptions when service ends.</w:t>
            </w:r>
          </w:p>
        </w:tc>
      </w:tr>
    </w:tbl>
    <w:p>
      <w:pPr>
        <w:spacing w:after="60" w:line="40" w:lineRule="exact"/>
      </w:pPr>
      <w:r>
        <w:rPr>
          <w:b w:val="0"/>
          <w:sz w:val="4"/>
        </w:rPr>
      </w:r>
    </w:p>
    <w:p>
      <w:pPr>
        <w:pStyle w:val="Heading2"/>
      </w:pPr>
      <w:r>
        <w:t>Select by ability and environment</w:t>
      </w:r>
    </w:p>
    <w:tbl>
      <w:tblPr>
        <w:tblW w:type="auto" w:w="0"/>
        <w:jc w:val="center"/>
        <w:tblLayout w:type="fixed"/>
        <w:tblLook w:firstColumn="1" w:firstRow="1" w:lastColumn="0" w:lastRow="0" w:noHBand="0" w:noVBand="1" w:val="04A0"/>
      </w:tblPr>
      <w:tblGrid>
        <w:gridCol w:w="1800"/>
        <w:gridCol w:w="4392"/>
        <w:gridCol w:w="3974"/>
      </w:tblGrid>
      <w:tr>
        <w:trPr>
          <w:tblHeader/>
          <w:cantSplit/>
        </w:trPr>
        <w:tc>
          <w:tcPr>
            <w:tcW w:type="dxa" w:w="1800"/>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Situation</w:t>
            </w:r>
          </w:p>
        </w:tc>
        <w:tc>
          <w:tcPr>
            <w:tcW w:type="dxa" w:w="4392"/>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Likely service emphasis</w:t>
            </w:r>
          </w:p>
        </w:tc>
        <w:tc>
          <w:tcPr>
            <w:tcW w:type="dxa" w:w="3974"/>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Practical limitation</w:t>
            </w:r>
          </w:p>
        </w:tc>
      </w:tr>
      <w:tr>
        <w:trPr>
          <w:cantSplit/>
        </w:trPr>
        <w:tc>
          <w:tcPr>
            <w:tcW w:type="dxa" w:w="1800"/>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Mild dementia</w:t>
            </w:r>
          </w:p>
        </w:tc>
        <w:tc>
          <w:tcPr>
            <w:tcW w:type="dxa" w:w="4392"/>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Simplified calling, calendars, familiar smartwatch features, and location sharing with consent.</w:t>
            </w:r>
          </w:p>
        </w:tc>
        <w:tc>
          <w:tcPr>
            <w:tcW w:type="dxa" w:w="3974"/>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Ability to learn and willingness to wear a device vary.</w:t>
            </w:r>
          </w:p>
        </w:tc>
      </w:tr>
      <w:tr>
        <w:trPr>
          <w:cantSplit/>
        </w:trPr>
        <w:tc>
          <w:tcPr>
            <w:tcW w:type="dxa" w:w="1800"/>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Moderate dementia</w:t>
            </w:r>
          </w:p>
        </w:tc>
        <w:tc>
          <w:tcPr>
            <w:tcW w:type="dxa" w:w="4392"/>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Caregiver-managed location alerts, simple emergency buttons where usable, door alerts and supervised routines.</w:t>
            </w:r>
          </w:p>
        </w:tc>
        <w:tc>
          <w:tcPr>
            <w:tcW w:type="dxa" w:w="3974"/>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A device may be removed, forgotten, uncharged or misunderstood.</w:t>
            </w:r>
          </w:p>
        </w:tc>
      </w:tr>
      <w:tr>
        <w:trPr>
          <w:cantSplit/>
        </w:trPr>
        <w:tc>
          <w:tcPr>
            <w:tcW w:type="dxa" w:w="1800"/>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Advanced dementia</w:t>
            </w:r>
          </w:p>
        </w:tc>
        <w:tc>
          <w:tcPr>
            <w:tcW w:type="dxa" w:w="4392"/>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Support the caregiver’s workflow, communication and clinician-directed equipment.</w:t>
            </w:r>
          </w:p>
        </w:tc>
        <w:tc>
          <w:tcPr>
            <w:tcW w:type="dxa" w:w="3974"/>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Technology does not establish that someone can safely remain alone.</w:t>
            </w:r>
          </w:p>
        </w:tc>
      </w:tr>
    </w:tbl>
    <w:p>
      <w:pPr>
        <w:spacing w:after="60" w:line="40" w:lineRule="exact"/>
      </w:pPr>
      <w:r>
        <w:rPr>
          <w:b w:val="0"/>
          <w:sz w:val="4"/>
        </w:rPr>
      </w:r>
    </w:p>
    <w:p>
      <w:r>
        <w:rPr>
          <w:b w:val="0"/>
        </w:rPr>
        <w:t>These are service-design starting points, not clinical prescriptions. Functional ability, sensory or mobility difficulties, distress, and the person’s preferences matter more than a stage label. An occupational therapist or other appropriate clinician should assess complex safety and functional needs.</w:t>
      </w:r>
    </w:p>
    <w:p>
      <w:r>
        <w:rPr>
          <w:b w:val="0"/>
        </w:rPr>
        <w:t>A dementia diagnosis alone does not remove a person’s right to participate in decisions. Explain tracking and access in a way the person can understand. Confirm a representative’s authority where needed, and stop to resolve objections or disputed authority before installing surveillance features.</w:t>
      </w:r>
    </w:p>
    <w:p>
      <w:r>
        <w:br w:type="page"/>
      </w:r>
    </w:p>
    <w:p>
      <w:pPr>
        <w:pStyle w:val="Heading1"/>
      </w:pPr>
      <w:r>
        <w:t>Technology worth evaluating first</w:t>
      </w:r>
    </w:p>
    <w:p>
      <w:r>
        <w:rPr>
          <w:b w:val="0"/>
        </w:rPr>
        <w:t>Start with three to five supported configurations. The examples below are real product categories with currently published supplier information; inclusion is not a claim of clinical superiority, universal Hawaiʻi coverage, or an insurance benefit. Obtain written shipping, carrier, warranty and return terms before selecting equipment.</w:t>
      </w:r>
    </w:p>
    <w:tbl>
      <w:tblPr>
        <w:tblW w:type="auto" w:w="0"/>
        <w:jc w:val="center"/>
        <w:tblLayout w:type="fixed"/>
        <w:tblLook w:firstColumn="1" w:firstRow="1" w:lastColumn="0" w:lastRow="0" w:noHBand="0" w:noVBand="1" w:val="04A0"/>
      </w:tblPr>
      <w:tblGrid>
        <w:gridCol w:w="2534"/>
        <w:gridCol w:w="3139"/>
        <w:gridCol w:w="4493"/>
      </w:tblGrid>
      <w:tr>
        <w:trPr>
          <w:tblHeader/>
          <w:cantSplit/>
        </w:trPr>
        <w:tc>
          <w:tcPr>
            <w:tcW w:type="dxa" w:w="2534"/>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Category and example</w:t>
            </w:r>
          </w:p>
        </w:tc>
        <w:tc>
          <w:tcPr>
            <w:tcW w:type="dxa" w:w="3139"/>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Potential use</w:t>
            </w:r>
          </w:p>
        </w:tc>
        <w:tc>
          <w:tcPr>
            <w:tcW w:type="dxa" w:w="4493"/>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What the business must verify</w:t>
            </w:r>
          </w:p>
        </w:tc>
      </w:tr>
      <w:tr>
        <w:trPr>
          <w:cantSplit/>
        </w:trPr>
        <w:tc>
          <w:tcPr>
            <w:tcW w:type="dxa" w:w="2534"/>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GPS location tag</w:t>
              <w:br/>
              <w:t>Jiobit [15]</w:t>
            </w:r>
          </w:p>
        </w:tc>
        <w:tc>
          <w:tcPr>
            <w:tcW w:type="dxa" w:w="3139"/>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Caregiver location access and shared alerts.</w:t>
            </w:r>
          </w:p>
        </w:tc>
        <w:tc>
          <w:tcPr>
            <w:tcW w:type="dxa" w:w="4493"/>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Coverage at the actual address and routine destinations, attachment, battery routine, notification delay and subscription terms.</w:t>
            </w:r>
          </w:p>
        </w:tc>
      </w:tr>
      <w:tr>
        <w:trPr>
          <w:cantSplit/>
        </w:trPr>
        <w:tc>
          <w:tcPr>
            <w:tcW w:type="dxa" w:w="2534"/>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Emergency response pendant</w:t>
              <w:br/>
              <w:t>Medical Guardian MGMini [16]</w:t>
            </w:r>
          </w:p>
        </w:tc>
        <w:tc>
          <w:tcPr>
            <w:tcW w:type="dxa" w:w="3139"/>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Access to a monitored help service; optional automatic fall detection.</w:t>
            </w:r>
          </w:p>
        </w:tc>
        <w:tc>
          <w:tcPr>
            <w:tcW w:type="dxa" w:w="4493"/>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Local cellular reception, responder process, language support, charging and all monthly charges.</w:t>
            </w:r>
          </w:p>
        </w:tc>
      </w:tr>
      <w:tr>
        <w:trPr>
          <w:cantSplit/>
        </w:trPr>
        <w:tc>
          <w:tcPr>
            <w:tcW w:type="dxa" w:w="2534"/>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Familiar smartwatch</w:t>
              <w:br/>
              <w:t>Apple Watch [14]</w:t>
            </w:r>
          </w:p>
        </w:tc>
        <w:tc>
          <w:tcPr>
            <w:tcW w:type="dxa" w:w="3139"/>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Selected fall alerts, emergency calling and family communication.</w:t>
            </w:r>
          </w:p>
        </w:tc>
        <w:tc>
          <w:tcPr>
            <w:tcW w:type="dxa" w:w="4493"/>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Exact model, account and cellular configuration, compatibility, usability and caregiver response. Apple states it cannot detect every fall.</w:t>
            </w:r>
          </w:p>
        </w:tc>
      </w:tr>
      <w:tr>
        <w:trPr>
          <w:cantSplit/>
        </w:trPr>
        <w:tc>
          <w:tcPr>
            <w:tcW w:type="dxa" w:w="2534"/>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Simplified telephone</w:t>
              <w:br/>
              <w:t>RAZ Memory Cell Phone [17]</w:t>
            </w:r>
          </w:p>
        </w:tc>
        <w:tc>
          <w:tcPr>
            <w:tcW w:type="dxa" w:w="3139"/>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Photo-based contacts and management by a caregiver at a distance.</w:t>
            </w:r>
          </w:p>
        </w:tc>
        <w:tc>
          <w:tcPr>
            <w:tcW w:type="dxa" w:w="4493"/>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Carrier service, contact permissions, charging, emergency calling configuration and the person’s ability to use it.</w:t>
            </w:r>
          </w:p>
        </w:tc>
      </w:tr>
      <w:tr>
        <w:trPr>
          <w:cantSplit/>
        </w:trPr>
        <w:tc>
          <w:tcPr>
            <w:tcW w:type="dxa" w:w="2534"/>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Door alerts and simple reminders</w:t>
            </w:r>
          </w:p>
        </w:tc>
        <w:tc>
          <w:tcPr>
            <w:tcW w:type="dxa" w:w="3139"/>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Make an exit or routine more noticeable to a nearby caregiver.</w:t>
            </w:r>
          </w:p>
        </w:tc>
        <w:tc>
          <w:tcPr>
            <w:tcW w:type="dxa" w:w="4493"/>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Choose and test a specific model before offering it. Who hears the alert, and what happens during an outage?</w:t>
            </w:r>
          </w:p>
        </w:tc>
      </w:tr>
      <w:tr>
        <w:trPr>
          <w:cantSplit/>
        </w:trPr>
        <w:tc>
          <w:tcPr>
            <w:tcW w:type="dxa" w:w="2534"/>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Connected clinical equipment [9]</w:t>
            </w:r>
          </w:p>
        </w:tc>
        <w:tc>
          <w:tcPr>
            <w:tcW w:type="dxa" w:w="3139"/>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Clinician-managed monitoring of a separate condition, such as hypertension.</w:t>
            </w:r>
          </w:p>
        </w:tc>
        <w:tc>
          <w:tcPr>
            <w:tcW w:type="dxa" w:w="4493"/>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Clinical need, approved workflow and responsible provider. Consumer location data alone is not physiologic monitoring.</w:t>
            </w:r>
          </w:p>
        </w:tc>
      </w:tr>
    </w:tbl>
    <w:p>
      <w:pPr>
        <w:spacing w:after="60" w:line="40" w:lineRule="exact"/>
      </w:pPr>
      <w:r>
        <w:rPr>
          <w:b w:val="0"/>
          <w:sz w:val="4"/>
        </w:rPr>
      </w:r>
    </w:p>
    <w:p>
      <w:r>
        <w:rPr>
          <w:b w:val="0"/>
        </w:rPr>
        <w:t>A GPS receiver finding its position and a device transmitting that position to a caregiver are separate functions. A watch or tracker may need cellular service, Wi-Fi, or another supported connection to deliver an alert. Satellite capability on a particular product must be verified feature by feature; it is not a blanket solution for Pacific coverage. [14–16]</w:t>
      </w:r>
    </w:p>
    <w:p>
      <w:pPr>
        <w:pStyle w:val="Heading2"/>
      </w:pPr>
      <w:r>
        <w:t>Start with the equipment already owned</w:t>
      </w:r>
    </w:p>
    <w:p>
      <w:r>
        <w:rPr>
          <w:b w:val="0"/>
        </w:rPr>
        <w:t>The assessment may find that the family needs permission settings, simpler contacts, a charging stand, or practice using an existing phone. Recommend a purchase only when it addresses the agreed problem. An item-finding tag should not be sold as an equivalent replacement for a tested, connected personal safety service.</w:t>
      </w:r>
    </w:p>
    <w:p>
      <w:r>
        <w:rPr>
          <w:b w:val="0"/>
        </w:rPr>
        <w:t>Use a provisional equipment allowance of $150–$400 and $20–$55 monthly for connectivity or monitoring when testing household affordability. These are budgeting assumptions, not current product quotes; some configurations will cost more. Equipment and vendor subscriptions are separate from the business’s support fee.</w:t>
      </w:r>
    </w:p>
    <w:p>
      <w:r>
        <w:br w:type="page"/>
      </w:r>
    </w:p>
    <w:p>
      <w:pPr>
        <w:pStyle w:val="Heading1"/>
      </w:pPr>
      <w:r>
        <w:t>Training and daily operations</w:t>
      </w:r>
    </w:p>
    <w:p>
      <w:r>
        <w:rPr>
          <w:b w:val="0"/>
        </w:rPr>
        <w:t>A caregiver should be able to demonstrate the essential tasks before an installation is considered complete. A successful pairing screen is insufficient evidence that the household can use the system.</w:t>
      </w:r>
    </w:p>
    <w:tbl>
      <w:tblPr>
        <w:tblW w:type="auto" w:w="0"/>
        <w:jc w:val="center"/>
        <w:tblLayout w:type="fixed"/>
        <w:tblLook w:firstColumn="1" w:firstRow="1" w:lastColumn="0" w:lastRow="0" w:noHBand="0" w:noVBand="1" w:val="04A0"/>
      </w:tblPr>
      <w:tblGrid>
        <w:gridCol w:w="1627"/>
        <w:gridCol w:w="8539"/>
      </w:tblGrid>
      <w:tr>
        <w:trPr>
          <w:tblHeader/>
          <w:cantSplit/>
        </w:trPr>
        <w:tc>
          <w:tcPr>
            <w:tcW w:type="dxa" w:w="1627"/>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Step</w:t>
            </w:r>
          </w:p>
        </w:tc>
        <w:tc>
          <w:tcPr>
            <w:tcW w:type="dxa" w:w="8539"/>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Training and acceptance check</w:t>
            </w:r>
          </w:p>
        </w:tc>
      </w:tr>
      <w:tr>
        <w:trPr>
          <w:cantSplit/>
        </w:trPr>
        <w:tc>
          <w:tcPr>
            <w:tcW w:type="dxa" w:w="1627"/>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Prepare</w:t>
            </w:r>
          </w:p>
        </w:tc>
        <w:tc>
          <w:tcPr>
            <w:tcW w:type="dxa" w:w="8539"/>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Identify primary and backup caregivers, preferred language, authorized account owner and a nearby responder. Review phone and internet access before the visit.</w:t>
            </w:r>
          </w:p>
        </w:tc>
      </w:tr>
      <w:tr>
        <w:trPr>
          <w:cantSplit/>
        </w:trPr>
        <w:tc>
          <w:tcPr>
            <w:tcW w:type="dxa" w:w="1627"/>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Install</w:t>
            </w:r>
          </w:p>
        </w:tc>
        <w:tc>
          <w:tcPr>
            <w:tcW w:type="dxa" w:w="8539"/>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Configure only necessary functions. Document device model, subscription, permissions, charging location and support numbers.</w:t>
            </w:r>
          </w:p>
        </w:tc>
      </w:tr>
      <w:tr>
        <w:trPr>
          <w:cantSplit/>
        </w:trPr>
        <w:tc>
          <w:tcPr>
            <w:tcW w:type="dxa" w:w="1627"/>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Practice</w:t>
            </w:r>
          </w:p>
        </w:tc>
        <w:tc>
          <w:tcPr>
            <w:tcW w:type="dxa" w:w="8539"/>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Caregiver locates the device status, charges it, interprets an alert, contacts the intended responder, and explains the outage procedure.</w:t>
            </w:r>
          </w:p>
        </w:tc>
      </w:tr>
      <w:tr>
        <w:trPr>
          <w:cantSplit/>
        </w:trPr>
        <w:tc>
          <w:tcPr>
            <w:tcW w:type="dxa" w:w="1627"/>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Check again</w:t>
            </w:r>
          </w:p>
        </w:tc>
        <w:tc>
          <w:tcPr>
            <w:tcW w:type="dxa" w:w="8539"/>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Conduct a short follow-up within seven days. At 30 days, check practical use and whether the original problem is better managed.</w:t>
            </w:r>
          </w:p>
        </w:tc>
      </w:tr>
      <w:tr>
        <w:trPr>
          <w:cantSplit/>
        </w:trPr>
        <w:tc>
          <w:tcPr>
            <w:tcW w:type="dxa" w:w="1627"/>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Maintain</w:t>
            </w:r>
          </w:p>
        </w:tc>
        <w:tc>
          <w:tcPr>
            <w:tcW w:type="dxa" w:w="8539"/>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Offer a scheduled monthly check and technical help during published hours. Review the plan after a move, hospital stay, caregiver change or repeated failures.</w:t>
            </w:r>
          </w:p>
        </w:tc>
      </w:tr>
    </w:tbl>
    <w:p>
      <w:pPr>
        <w:spacing w:after="60" w:line="40" w:lineRule="exact"/>
      </w:pPr>
      <w:r>
        <w:rPr>
          <w:b w:val="0"/>
          <w:sz w:val="4"/>
        </w:rPr>
      </w:r>
    </w:p>
    <w:p>
      <w:pPr>
        <w:pStyle w:val="Heading2"/>
      </w:pPr>
      <w:r>
        <w:t>Train in short sessions</w:t>
      </w:r>
    </w:p>
    <w:p>
      <w:r>
        <w:rPr>
          <w:b w:val="0"/>
        </w:rPr>
        <w:t>Teach one task at a time and ask the caregiver to show it back without prompting. Provide a one-page instruction sheet using the household’s actual device screens, large text, numbered steps and labels that do not rely on color. Provide interpretation or translated instructions where needed, and include that cost in the quote.</w:t>
      </w:r>
    </w:p>
    <w:p>
      <w:r>
        <w:rPr>
          <w:b w:val="0"/>
        </w:rPr>
        <w:t>Practice notifications through manufacturer-approved test functions or a prearranged monitoring-center test. Do not stage a fall or generate an unnecessary emergency call. Establish a fallback plan when a device, network, or caregiver is unavailable.</w:t>
      </w:r>
    </w:p>
    <w:p>
      <w:pPr>
        <w:pStyle w:val="Heading2"/>
      </w:pPr>
      <w:r>
        <w:t>Staffing and accountability</w:t>
      </w:r>
    </w:p>
    <w:p>
      <w:r>
        <w:rPr>
          <w:b w:val="0"/>
        </w:rPr>
        <w:t>A lean launch needs an owner handling partnerships and operations, one part-time technical navigator or contractor, and access to a licensed occupational therapist or nurse for consultation. The navigator needs dementia communication skills, home-visit training, device troubleshooting ability, and disciplined privacy practices. A dementia-awareness course does not create a clinical license.</w:t>
      </w:r>
    </w:p>
    <w:p>
      <w:r>
        <w:rPr>
          <w:b w:val="0"/>
        </w:rPr>
        <w:t>Publish support hours, for example weekdays 9 a.m.–5 p.m. Hawaiʻi time with callbacks within one business day. Emergency alerts must go to the contracted response center or identified local responders. The startup is not a round-the-clock emergency dispatch center. Staff must know how to escalate an immediate emergency encountered during a support interaction.</w:t>
      </w:r>
    </w:p>
    <w:p>
      <w:r>
        <w:rPr>
          <w:b w:val="0"/>
        </w:rPr>
        <w:t>Keep the initial scope to configuration and education. Medication selection, dose changes, clinical interpretation of readings, electrical modifications, and hands-on clinical care remain with qualified professionals. Device or medication-dispenser configuration should follow the responsible clinician’s or pharmacist’s written plan.</w:t>
      </w:r>
    </w:p>
    <w:p>
      <w:r>
        <w:br w:type="page"/>
      </w:r>
    </w:p>
    <w:p>
      <w:pPr>
        <w:pStyle w:val="Heading1"/>
      </w:pPr>
      <w:r>
        <w:t>Serving islands across the Pacific</w:t>
      </w:r>
    </w:p>
    <w:p>
      <w:r>
        <w:rPr>
          <w:b w:val="0"/>
        </w:rPr>
        <w:t>Distance makes remote support valuable, but it also increases the cost of installation, replacement and emergency response. The workable model is a central support team plus trusted people on each island who can perform physical tasks. A family member on the mainland can pay and participate in training without being the sole emergency responder.</w:t>
      </w:r>
    </w:p>
    <w:tbl>
      <w:tblPr>
        <w:tblW w:type="auto" w:w="0"/>
        <w:jc w:val="center"/>
        <w:tblLayout w:type="fixed"/>
        <w:tblLook w:firstColumn="1" w:firstRow="1" w:lastColumn="0" w:lastRow="0" w:noHBand="0" w:noVBand="1" w:val="04A0"/>
      </w:tblPr>
      <w:tblGrid>
        <w:gridCol w:w="2448"/>
        <w:gridCol w:w="3816"/>
        <w:gridCol w:w="3902"/>
      </w:tblGrid>
      <w:tr>
        <w:trPr>
          <w:tblHeader/>
          <w:cantSplit/>
        </w:trPr>
        <w:tc>
          <w:tcPr>
            <w:tcW w:type="dxa" w:w="2448"/>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Service area</w:t>
            </w:r>
          </w:p>
        </w:tc>
        <w:tc>
          <w:tcPr>
            <w:tcW w:type="dxa" w:w="3816"/>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Recommended delivery model</w:t>
            </w:r>
          </w:p>
        </w:tc>
        <w:tc>
          <w:tcPr>
            <w:tcW w:type="dxa" w:w="3902"/>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Condition for expansion</w:t>
            </w:r>
          </w:p>
        </w:tc>
      </w:tr>
      <w:tr>
        <w:trPr>
          <w:cantSplit/>
        </w:trPr>
        <w:tc>
          <w:tcPr>
            <w:tcW w:type="dxa" w:w="2448"/>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Oʻahu</w:t>
            </w:r>
          </w:p>
        </w:tc>
        <w:tc>
          <w:tcPr>
            <w:tcW w:type="dxa" w:w="3816"/>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Local installations within a defined service area; remote follow-up.</w:t>
            </w:r>
          </w:p>
        </w:tc>
        <w:tc>
          <w:tcPr>
            <w:tcW w:type="dxa" w:w="3902"/>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Establish repeatable service times and household satisfaction.</w:t>
            </w:r>
          </w:p>
        </w:tc>
      </w:tr>
      <w:tr>
        <w:trPr>
          <w:cantSplit/>
        </w:trPr>
        <w:tc>
          <w:tcPr>
            <w:tcW w:type="dxa" w:w="2448"/>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Hawaiʻi Island and Kauaʻi</w:t>
            </w:r>
          </w:p>
        </w:tc>
        <w:tc>
          <w:tcPr>
            <w:tcW w:type="dxa" w:w="3816"/>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Remote assessment plus an island-based installer or care partner.</w:t>
            </w:r>
          </w:p>
        </w:tc>
        <w:tc>
          <w:tcPr>
            <w:tcW w:type="dxa" w:w="3902"/>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Test the actual cellular network and agree on local travel charges.</w:t>
            </w:r>
          </w:p>
        </w:tc>
      </w:tr>
      <w:tr>
        <w:trPr>
          <w:cantSplit/>
        </w:trPr>
        <w:tc>
          <w:tcPr>
            <w:tcW w:type="dxa" w:w="2448"/>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Maui County including Molokaʻi and Lānaʻi</w:t>
            </w:r>
          </w:p>
        </w:tc>
        <w:tc>
          <w:tcPr>
            <w:tcW w:type="dxa" w:w="3816"/>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Separate island arrangements, with scheduled visits where necessary.</w:t>
            </w:r>
          </w:p>
        </w:tc>
        <w:tc>
          <w:tcPr>
            <w:tcW w:type="dxa" w:w="3902"/>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Do not treat a county-wide agreement as access to every island.</w:t>
            </w:r>
          </w:p>
        </w:tc>
      </w:tr>
      <w:tr>
        <w:trPr>
          <w:cantSplit/>
        </w:trPr>
        <w:tc>
          <w:tcPr>
            <w:tcW w:type="dxa" w:w="2448"/>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Guam and CNMI including Saipan and Tinian</w:t>
            </w:r>
          </w:p>
        </w:tc>
        <w:tc>
          <w:tcPr>
            <w:tcW w:type="dxa" w:w="3816"/>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A later partner-led pilot, with local technical and payer review.</w:t>
            </w:r>
          </w:p>
        </w:tc>
        <w:tc>
          <w:tcPr>
            <w:tcW w:type="dxa" w:w="3902"/>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Confirm carrier support, returns, responder routing, time zones and billing eligibility.</w:t>
            </w:r>
          </w:p>
        </w:tc>
      </w:tr>
      <w:tr>
        <w:trPr>
          <w:cantSplit/>
        </w:trPr>
        <w:tc>
          <w:tcPr>
            <w:tcW w:type="dxa" w:w="2448"/>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American Samoa</w:t>
            </w:r>
          </w:p>
        </w:tc>
        <w:tc>
          <w:tcPr>
            <w:tcW w:type="dxa" w:w="3816"/>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A later locally designed service, supported by family or organizational sponsors.</w:t>
            </w:r>
          </w:p>
        </w:tc>
        <w:tc>
          <w:tcPr>
            <w:tcW w:type="dxa" w:w="3902"/>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Validate language, service availability, payment arrangements and equipment supply.</w:t>
            </w:r>
          </w:p>
        </w:tc>
      </w:tr>
      <w:tr>
        <w:trPr>
          <w:cantSplit/>
        </w:trPr>
        <w:tc>
          <w:tcPr>
            <w:tcW w:type="dxa" w:w="2448"/>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Other Pacific countries</w:t>
            </w:r>
          </w:p>
        </w:tc>
        <w:tc>
          <w:tcPr>
            <w:tcW w:type="dxa" w:w="3816"/>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Local institutional or private-pay partnerships only after separate assessment.</w:t>
            </w:r>
          </w:p>
        </w:tc>
        <w:tc>
          <w:tcPr>
            <w:tcW w:type="dxa" w:w="3902"/>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No assumed portability of Hawaiʻi insurance benefits or U.S. reimbursement.</w:t>
            </w:r>
          </w:p>
        </w:tc>
      </w:tr>
    </w:tbl>
    <w:p>
      <w:pPr>
        <w:spacing w:after="60" w:line="40" w:lineRule="exact"/>
      </w:pPr>
      <w:r>
        <w:rPr>
          <w:b w:val="0"/>
          <w:sz w:val="4"/>
        </w:rPr>
      </w:r>
    </w:p>
    <w:p>
      <w:r>
        <w:rPr>
          <w:b w:val="0"/>
        </w:rPr>
        <w:t>Guam, the Northern Mariana Islands, and American Samoa are within Medicare’s definition of the United States. That does not establish eligibility for a particular service, an enrolled local supplier, or coverage by a Hawaiʻi plan. Other Pacific countries generally fall outside ordinary Medicare coverage. [18]</w:t>
      </w:r>
    </w:p>
    <w:p>
      <w:pPr>
        <w:pStyle w:val="Heading2"/>
      </w:pPr>
      <w:r>
        <w:t>Make the household resilient</w:t>
      </w:r>
    </w:p>
    <w:p>
      <w:r>
        <w:rPr>
          <w:b w:val="0"/>
        </w:rPr>
        <w:t>The installation checklist should cover indoor signal, charging during outages, ordinary travel routes, shipping delays and a replacement process. Keep printed instructions and a current local contact list. Connectivity and emergency routing need to be tested at the service location; a vendor’s nationwide marketing statement is not an address-level guarantee.</w:t>
      </w:r>
    </w:p>
    <w:p>
      <w:r>
        <w:rPr>
          <w:b w:val="0"/>
        </w:rPr>
        <w:t>Avoid routine flights for individual support calls. As a planning example, a $700 trip allocated over six households adds about $117 per household before installation labor. Such travel can erase the setup margin. Use local contractors, sponsored group visits or a separately accepted travel charge.</w:t>
      </w:r>
    </w:p>
    <w:p>
      <w:r>
        <w:rPr>
          <w:b w:val="0"/>
        </w:rPr>
        <w:t>The financial model includes only Hawaiʻi operations within defined local service areas. No revenue from other Pacific jurisdictions is needed to make the pilot worthwhile or included in the financial projections.</w:t>
      </w:r>
    </w:p>
    <w:p>
      <w:r>
        <w:br w:type="page"/>
      </w:r>
    </w:p>
    <w:p>
      <w:pPr>
        <w:pStyle w:val="Heading1"/>
      </w:pPr>
      <w:r>
        <w:t>Who can pay for what</w:t>
      </w:r>
    </w:p>
    <w:p>
      <w:r>
        <w:rPr>
          <w:b w:val="0"/>
        </w:rPr>
        <w:t>Three questions must be answered separately: Is the product regulated as a medical device? Does the patient’s benefit cover this particular item or service? Is this business an eligible, contracted supplier of it? A prescription or an FDA status does not by itself answer the other questions. [3, 19]</w:t>
      </w:r>
    </w:p>
    <w:tbl>
      <w:tblPr>
        <w:tblW w:type="auto" w:w="0"/>
        <w:jc w:val="center"/>
        <w:tblLayout w:type="fixed"/>
        <w:tblLook w:firstColumn="1" w:firstRow="1" w:lastColumn="0" w:lastRow="0" w:noHBand="0" w:noVBand="1" w:val="04A0"/>
      </w:tblPr>
      <w:tblGrid>
        <w:gridCol w:w="2203"/>
        <w:gridCol w:w="3902"/>
        <w:gridCol w:w="4061"/>
      </w:tblGrid>
      <w:tr>
        <w:trPr>
          <w:tblHeader/>
          <w:cantSplit/>
        </w:trPr>
        <w:tc>
          <w:tcPr>
            <w:tcW w:type="dxa" w:w="2203"/>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Payment route</w:t>
            </w:r>
          </w:p>
        </w:tc>
        <w:tc>
          <w:tcPr>
            <w:tcW w:type="dxa" w:w="3902"/>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Likely fit</w:t>
            </w:r>
          </w:p>
        </w:tc>
        <w:tc>
          <w:tcPr>
            <w:tcW w:type="dxa" w:w="4061"/>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How the business gets paid</w:t>
            </w:r>
          </w:p>
        </w:tc>
      </w:tr>
      <w:tr>
        <w:trPr>
          <w:cantSplit/>
        </w:trPr>
        <w:tc>
          <w:tcPr>
            <w:tcW w:type="dxa" w:w="2203"/>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Original Medicare equipment benefit</w:t>
            </w:r>
          </w:p>
        </w:tc>
        <w:tc>
          <w:tcPr>
            <w:tcW w:type="dxa" w:w="3902"/>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Qualifying medically necessary DME. Ordinary consumer trackers and general support are generally outside it. [3, 4]</w:t>
            </w:r>
          </w:p>
        </w:tc>
        <w:tc>
          <w:tcPr>
            <w:tcW w:type="dxa" w:w="4061"/>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Only under applicable supplier, documentation and coverage rules; do not budget direct Medicare device claims at launch.</w:t>
            </w:r>
          </w:p>
        </w:tc>
      </w:tr>
      <w:tr>
        <w:trPr>
          <w:cantSplit/>
        </w:trPr>
        <w:tc>
          <w:tcPr>
            <w:tcW w:type="dxa" w:w="2203"/>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Medicare caregiver training</w:t>
            </w:r>
          </w:p>
        </w:tc>
        <w:tc>
          <w:tcPr>
            <w:tcW w:type="dxa" w:w="3902"/>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Qualifying treatment-plan training by eligible clinicians. [5]</w:t>
            </w:r>
          </w:p>
        </w:tc>
        <w:tc>
          <w:tcPr>
            <w:tcW w:type="dxa" w:w="4061"/>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Possible contracted support to the clinical practice; no automatic billing right for an independent technician.</w:t>
            </w:r>
          </w:p>
        </w:tc>
      </w:tr>
      <w:tr>
        <w:trPr>
          <w:cantSplit/>
        </w:trPr>
        <w:tc>
          <w:tcPr>
            <w:tcW w:type="dxa" w:w="2203"/>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Medicare GUIDE</w:t>
            </w:r>
          </w:p>
        </w:tc>
        <w:tc>
          <w:tcPr>
            <w:tcW w:type="dxa" w:w="3902"/>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Dementia care coordination and caregiver support for eligible aligned beneficiaries. [6, 7]</w:t>
            </w:r>
          </w:p>
        </w:tc>
        <w:tc>
          <w:tcPr>
            <w:tcW w:type="dxa" w:w="4061"/>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A negotiated partner agreement with an existing participant, subject to program requirements.</w:t>
            </w:r>
          </w:p>
        </w:tc>
      </w:tr>
      <w:tr>
        <w:trPr>
          <w:cantSplit/>
        </w:trPr>
        <w:tc>
          <w:tcPr>
            <w:tcW w:type="dxa" w:w="2203"/>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Clinical remote monitoring</w:t>
            </w:r>
          </w:p>
        </w:tc>
        <w:tc>
          <w:tcPr>
            <w:tcW w:type="dxa" w:w="3902"/>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Medically necessary physiologic monitoring with a qualifying connected device. [9]</w:t>
            </w:r>
          </w:p>
        </w:tc>
        <w:tc>
          <w:tcPr>
            <w:tcW w:type="dxa" w:w="4061"/>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A clinical provider’s compliant program may contract for technical tasks.</w:t>
            </w:r>
          </w:p>
        </w:tc>
      </w:tr>
      <w:tr>
        <w:trPr>
          <w:cantSplit/>
        </w:trPr>
        <w:tc>
          <w:tcPr>
            <w:tcW w:type="dxa" w:w="2203"/>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Medicare Advantage</w:t>
            </w:r>
          </w:p>
        </w:tc>
        <w:tc>
          <w:tcPr>
            <w:tcW w:type="dxa" w:w="3902"/>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Some plans offer emergency response benefits; details vary. [4]</w:t>
            </w:r>
          </w:p>
        </w:tc>
        <w:tc>
          <w:tcPr>
            <w:tcW w:type="dxa" w:w="4061"/>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Only the member’s approved benefit, vendor arrangement and authorization apply.</w:t>
            </w:r>
          </w:p>
        </w:tc>
      </w:tr>
      <w:tr>
        <w:trPr>
          <w:cantSplit/>
        </w:trPr>
        <w:tc>
          <w:tcPr>
            <w:tcW w:type="dxa" w:w="2203"/>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Hawaiʻi QUEST</w:t>
            </w:r>
          </w:p>
        </w:tc>
        <w:tc>
          <w:tcPr>
            <w:tcW w:type="dxa" w:w="3902"/>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Authorized PERS and some other long-term support services for eligible members. [10, 11]</w:t>
            </w:r>
          </w:p>
        </w:tc>
        <w:tc>
          <w:tcPr>
            <w:tcW w:type="dxa" w:w="4061"/>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Plan contract or subcontract with an authorized vendor; rates require negotiation.</w:t>
            </w:r>
          </w:p>
        </w:tc>
      </w:tr>
      <w:tr>
        <w:trPr>
          <w:cantSplit/>
        </w:trPr>
        <w:tc>
          <w:tcPr>
            <w:tcW w:type="dxa" w:w="2203"/>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Commercial or long-term care insurance</w:t>
            </w:r>
          </w:p>
        </w:tc>
        <w:tc>
          <w:tcPr>
            <w:tcW w:type="dxa" w:w="3902"/>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Policy-specific equipment or support benefits may apply.</w:t>
            </w:r>
          </w:p>
        </w:tc>
        <w:tc>
          <w:tcPr>
            <w:tcW w:type="dxa" w:w="4061"/>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Obtain written policy and claim requirements; assume no payment until confirmed.</w:t>
            </w:r>
          </w:p>
        </w:tc>
      </w:tr>
      <w:tr>
        <w:trPr>
          <w:cantSplit/>
        </w:trPr>
        <w:tc>
          <w:tcPr>
            <w:tcW w:type="dxa" w:w="2203"/>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Families and sponsors</w:t>
            </w:r>
          </w:p>
        </w:tc>
        <w:tc>
          <w:tcPr>
            <w:tcW w:type="dxa" w:w="3902"/>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Assessment, setup, support, workshops and uncovered devices.</w:t>
            </w:r>
          </w:p>
        </w:tc>
        <w:tc>
          <w:tcPr>
            <w:tcW w:type="dxa" w:w="4061"/>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Transparent private-pay invoices or organizational service contracts.</w:t>
            </w:r>
          </w:p>
        </w:tc>
      </w:tr>
    </w:tbl>
    <w:p>
      <w:pPr>
        <w:spacing w:after="60" w:line="40" w:lineRule="exact"/>
      </w:pPr>
      <w:r>
        <w:rPr>
          <w:b w:val="0"/>
          <w:sz w:val="4"/>
        </w:rPr>
      </w:r>
    </w:p>
    <w:p>
      <w:pPr>
        <w:pStyle w:val="Heading2"/>
      </w:pPr>
      <w:r>
        <w:t>Keep covered and uncovered charges distinct</w:t>
      </w:r>
    </w:p>
    <w:p>
      <w:r>
        <w:rPr>
          <w:b w:val="0"/>
        </w:rPr>
        <w:t>For each household, identify the benefit, eligibility, authorization, approved provider, allowed service and family responsibility before purchase. Show the hardware price, vendor subscription, setup service, continuing support and travel separately. Payment for a pendant does not establish payment for a separate technology concierge subscription.</w:t>
      </w:r>
    </w:p>
    <w:p>
      <w:r>
        <w:rPr>
          <w:b w:val="0"/>
        </w:rPr>
        <w:t xml:space="preserve">The operating model assumes revenue collected from customers or signed organizational agreements. It includes </w:t>
      </w:r>
      <w:r>
        <w:rPr>
          <w:b/>
        </w:rPr>
        <w:t>no speculative Medicare claims, grant awards, or state appropriations</w:t>
      </w:r>
      <w:r>
        <w:rPr>
          <w:b w:val="0"/>
        </w:rPr>
        <w:t>. A future payer agreement should replace the relevant assumptions only after its rates and service obligations are known.</w:t>
      </w:r>
    </w:p>
    <w:p>
      <w:r>
        <w:br w:type="page"/>
      </w:r>
    </w:p>
    <w:p>
      <w:pPr>
        <w:pStyle w:val="Heading1"/>
      </w:pPr>
      <w:r>
        <w:t>The Medicare opportunities</w:t>
      </w:r>
    </w:p>
    <w:p>
      <w:pPr>
        <w:pStyle w:val="Heading2"/>
      </w:pPr>
      <w:r>
        <w:t>Equipment and caregiver training</w:t>
      </w:r>
    </w:p>
    <w:p>
      <w:r>
        <w:rPr>
          <w:b w:val="0"/>
        </w:rPr>
        <w:t>Medicare’s DME rules include repeated use, a medical purpose, home use and an expected life of at least three years. The equipment must generally be useful primarily to someone sick or injured. Covered DME also requires an order and Medicare-enrolled suppliers; the usual Part B deductible and coinsurance apply. [3]</w:t>
      </w:r>
    </w:p>
    <w:p>
      <w:r>
        <w:rPr>
          <w:b w:val="0"/>
        </w:rPr>
        <w:t>Caregiver training is a more relevant avenue for this concept. Medicare covers qualifying training tied to the patient’s treatment goals when the caregiver’s help is needed for treatment to succeed. Eligible providers include physicians, certain advanced practitioners and therapists. General phone lessons or device retail setup do not automatically become covered caregiver training. [5]</w:t>
      </w:r>
    </w:p>
    <w:p>
      <w:r>
        <w:rPr>
          <w:b w:val="0"/>
        </w:rPr>
        <w:t>A possible arrangement is for an occupational therapy practice to assess the person’s functional needs, provide eligible treatment-plan training, and buy clearly defined technical assistance from this business. The practice must establish the permitted staffing, supervision, documentation and billing. The startup should not represent a technician as a qualified clinician or assume the practice can bill for all technician time.</w:t>
      </w:r>
    </w:p>
    <w:p>
      <w:pPr>
        <w:pStyle w:val="Heading2"/>
      </w:pPr>
      <w:r>
        <w:t>Partner with an existing GUIDE participant</w:t>
      </w:r>
    </w:p>
    <w:p>
      <w:r>
        <w:rPr>
          <w:b w:val="0"/>
        </w:rPr>
        <w:t>CMS GUIDE permits participants to contract with partner organizations, including organizations not enrolled in Medicare. The participant pays its partner; CMS does not pay the partner directly. The application cycle for new participants has closed. [6]</w:t>
      </w:r>
    </w:p>
    <w:p>
      <w:r>
        <w:rPr>
          <w:b w:val="0"/>
        </w:rPr>
        <w:t>Eligibility includes clinician-confirmed dementia, Original Medicare Parts A and B as primary coverage, and an eligible residence; Medicare Advantage enrollees are excluded. GUIDE-covered services have no patient cost-sharing. The participant must determine full eligibility and alignment. [6]</w:t>
      </w:r>
    </w:p>
    <w:p>
      <w:r>
        <w:rPr>
          <w:b w:val="0"/>
        </w:rPr>
        <w:t>Hawaiʻi Pacific Health confirms that Straub Benioff’s geriatrics clinic participates in GUIDE. It is a concrete prospect for discussion, not a confirmed customer or assurance of statewide access. [8] Propose a limited technical-support contract linked to its care plan and reporting needs. Have the participant determine which tasks fit the model and how separately purchased extras can be offered without duplicate charges.</w:t>
      </w:r>
    </w:p>
    <w:p>
      <w:r>
        <w:rPr>
          <w:b w:val="0"/>
        </w:rPr>
        <w:t>GUIDE’s respite payment is for qualifying respite care. It should not be represented as a wearable-shopping allowance. [7]</w:t>
      </w:r>
    </w:p>
    <w:p>
      <w:pPr>
        <w:pStyle w:val="Heading2"/>
      </w:pPr>
      <w:r>
        <w:t>Use remote monitoring only for a clinical purpose</w:t>
      </w:r>
    </w:p>
    <w:p>
      <w:r>
        <w:rPr>
          <w:b w:val="0"/>
        </w:rPr>
        <w:t>CMS describes remote patient monitoring as connected collection of physiologic data used by a provider to manage a condition. Education and device setup are components. A person with dementia and hypertension might receive clinician-managed blood-pressure monitoring; GPS location or a general activity dashboard alone does not qualify. [9]</w:t>
      </w:r>
    </w:p>
    <w:p>
      <w:r>
        <w:rPr>
          <w:b w:val="0"/>
        </w:rPr>
        <w:t>Any clinical arrangement requires review of current code-specific device, data, consent, time and supervision rules. This feasibility study does not assign billing codes or assumed reimbursement rates to the proposed service.</w:t>
      </w:r>
    </w:p>
    <w:p>
      <w:r>
        <w:br w:type="page"/>
      </w:r>
    </w:p>
    <w:p>
      <w:pPr>
        <w:pStyle w:val="Heading1"/>
      </w:pPr>
      <w:r>
        <w:t>QUEST and the Hanai Memory Network</w:t>
      </w:r>
    </w:p>
    <w:p>
      <w:pPr>
        <w:pStyle w:val="Heading2"/>
      </w:pPr>
      <w:r>
        <w:t>QUEST is the clearest equipment support lead</w:t>
      </w:r>
    </w:p>
    <w:p>
      <w:r>
        <w:rPr>
          <w:b w:val="0"/>
        </w:rPr>
        <w:t>Hawaiʻi’s approved QUEST demonstration defines personal emergency response services to include installation, training, repairs and maintenance. It lists PERS for eligible members meeting institutional level of care and for an assessed at-risk group. Coverage is not based on a dementia diagnosis alone. [10]</w:t>
      </w:r>
    </w:p>
    <w:p>
      <w:r>
        <w:rPr>
          <w:b w:val="0"/>
        </w:rPr>
        <w:t>HMSA’s April 2026 QUEST handbook describes a 24-hour emergency assistance service with installation, training, repairs, maintenance and an established response arrangement. Prior approval is required. Its description includes medication-reminder equipment among possible PERS items, but does not establish coverage for every retail dispenser, GPS watch or support subscription. [11]</w:t>
      </w:r>
    </w:p>
    <w:p>
      <w:r>
        <w:rPr>
          <w:b w:val="0"/>
        </w:rPr>
        <w:t>Ask a QUEST plan or existing PERS provider whether it needs subcontracted installation and caregiver training. Confirm whether those services are bundled in the device rate, permitted as a separate authorized service, or purchased under a vendor contract. Obtain the approved scope, member criteria, rates, local coverage requirements and responsibility for responses in writing.</w:t>
      </w:r>
    </w:p>
    <w:p>
      <w:r>
        <w:rPr>
          <w:b w:val="0"/>
        </w:rPr>
        <w:t>Other QUEST categories, including specialized equipment and caregiver counseling or training, may fit selected needs under care-plan and eligibility requirements. They are additional screening routes, not an entitlement to general technology services. [10]</w:t>
      </w:r>
    </w:p>
    <w:p>
      <w:pPr>
        <w:pStyle w:val="Heading2"/>
      </w:pPr>
      <w:r>
        <w:t>The attachment describes a proposal rather than a contract</w:t>
      </w:r>
    </w:p>
    <w:p>
      <w:r>
        <w:rPr>
          <w:b w:val="0"/>
        </w:rPr>
        <w:t>The supplied 2025 infographic proposes county dementia care specialists, neighbor island memory clinics, specified staffing and a $3 million annual program. It is useful context for the access problem. It does not establish the current procurement structure or authorize reimbursement to this business. [2]</w:t>
      </w:r>
    </w:p>
    <w:p>
      <w:r>
        <w:rPr>
          <w:b w:val="0"/>
        </w:rPr>
        <w:t>The enacted HB 1853, Act 245, was signed July 14, 2026. It establishes the Hānai Memory Network in the Executive Office on Aging and appropriates $3 million for fiscal year 2026–2027. The law allows specialists, memory clinics, referrals, technical assistance and implementing agreements. It does not require the exact staffing pattern in the infographic or guarantee a recurring appropriation or private technology-service contract. [12]</w:t>
      </w:r>
    </w:p>
    <w:p>
      <w:r>
        <w:rPr>
          <w:b w:val="0"/>
        </w:rPr>
        <w:t>The practical proposal is a small, measurable technology-support component for participating households: assess usability, configure selected devices, train caregivers and report continued use. Discuss it with the Executive Office on Aging and prospective implementing organizations through the applicable procurement process. Treat potential Hānai revenue as an opportunity until an agreement exists.</w:t>
      </w:r>
    </w:p>
    <w:p>
      <w:pPr>
        <w:pStyle w:val="Heading2"/>
      </w:pPr>
      <w:r>
        <w:t>What to request from the payer</w:t>
      </w:r>
    </w:p>
    <w:p>
      <w:r>
        <w:rPr>
          <w:b w:val="0"/>
        </w:rPr>
        <w:t>A useful first discussion asks for a written description of the covered service, eligible provider type, required prior authorization, rate and billing unit, documentation, equipment ownership, after-hours obligations, permitted subcontracting, and whether delivery is available on each proposed island.</w:t>
      </w:r>
    </w:p>
    <w:p>
      <w:r>
        <w:br w:type="page"/>
      </w:r>
    </w:p>
    <w:p>
      <w:pPr>
        <w:pStyle w:val="Heading1"/>
      </w:pPr>
      <w:r>
        <w:t>Competition and customer acquisition</w:t>
      </w:r>
    </w:p>
    <w:p>
      <w:r>
        <w:rPr>
          <w:b w:val="0"/>
        </w:rPr>
        <w:t>Hawaiʻi already has technology and caregiver support resources. A commercial business must offer a service families or institutions value beyond available help. This review establishes alternatives; it is not a complete census of competitors or their current capacity.</w:t>
      </w:r>
    </w:p>
    <w:tbl>
      <w:tblPr>
        <w:tblW w:type="auto" w:w="0"/>
        <w:jc w:val="center"/>
        <w:tblLayout w:type="fixed"/>
        <w:tblLook w:firstColumn="1" w:firstRow="1" w:lastColumn="0" w:lastRow="0" w:noHBand="0" w:noVBand="1" w:val="04A0"/>
      </w:tblPr>
      <w:tblGrid>
        <w:gridCol w:w="2707"/>
        <w:gridCol w:w="3427"/>
        <w:gridCol w:w="4032"/>
      </w:tblGrid>
      <w:tr>
        <w:trPr>
          <w:tblHeader/>
          <w:cantSplit/>
        </w:trPr>
        <w:tc>
          <w:tcPr>
            <w:tcW w:type="dxa" w:w="2707"/>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Organization or alternative</w:t>
            </w:r>
          </w:p>
        </w:tc>
        <w:tc>
          <w:tcPr>
            <w:tcW w:type="dxa" w:w="3427"/>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Existing offer</w:t>
            </w:r>
          </w:p>
        </w:tc>
        <w:tc>
          <w:tcPr>
            <w:tcW w:type="dxa" w:w="4032"/>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Possible role for the business</w:t>
            </w:r>
          </w:p>
        </w:tc>
      </w:tr>
      <w:tr>
        <w:trPr>
          <w:cantSplit/>
        </w:trPr>
        <w:tc>
          <w:tcPr>
            <w:tcW w:type="dxa" w:w="2707"/>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Assistive Technology Resource Centers of Hawaiʻi [13]</w:t>
            </w:r>
          </w:p>
        </w:tc>
        <w:tc>
          <w:tcPr>
            <w:tcW w:type="dxa" w:w="3427"/>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Statewide device exploration, personalized guidance and training; it does not sell products.</w:t>
            </w:r>
          </w:p>
        </w:tc>
        <w:tc>
          <w:tcPr>
            <w:tcW w:type="dxa" w:w="4032"/>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Partner on assessment or trials. Verify what continuing support already exists before charging for overlapping work.</w:t>
            </w:r>
          </w:p>
        </w:tc>
      </w:tr>
      <w:tr>
        <w:trPr>
          <w:cantSplit/>
        </w:trPr>
        <w:tc>
          <w:tcPr>
            <w:tcW w:type="dxa" w:w="2707"/>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Device manufacturers [14–17]</w:t>
            </w:r>
          </w:p>
        </w:tc>
        <w:tc>
          <w:tcPr>
            <w:tcW w:type="dxa" w:w="3427"/>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Product-specific setup information and support.</w:t>
            </w:r>
          </w:p>
        </w:tc>
        <w:tc>
          <w:tcPr>
            <w:tcW w:type="dxa" w:w="4032"/>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Provide in-home help and caregiver coordination spanning more than one vendor.</w:t>
            </w:r>
          </w:p>
        </w:tc>
      </w:tr>
      <w:tr>
        <w:trPr>
          <w:cantSplit/>
        </w:trPr>
        <w:tc>
          <w:tcPr>
            <w:tcW w:type="dxa" w:w="2707"/>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Alzheimer’s Association and ADRC [20, 21]</w:t>
            </w:r>
          </w:p>
        </w:tc>
        <w:tc>
          <w:tcPr>
            <w:tcW w:type="dxa" w:w="3427"/>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Dementia education, safety information and connections to services.</w:t>
            </w:r>
          </w:p>
        </w:tc>
        <w:tc>
          <w:tcPr>
            <w:tcW w:type="dxa" w:w="4032"/>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Seek consent-based referrals for unresolved practical technology needs.</w:t>
            </w:r>
          </w:p>
        </w:tc>
      </w:tr>
      <w:tr>
        <w:trPr>
          <w:cantSplit/>
        </w:trPr>
        <w:tc>
          <w:tcPr>
            <w:tcW w:type="dxa" w:w="2707"/>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Straub GUIDE and other clinical services [8]</w:t>
            </w:r>
          </w:p>
        </w:tc>
        <w:tc>
          <w:tcPr>
            <w:tcW w:type="dxa" w:w="3427"/>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Care planning, navigation, caregiver education and follow-up.</w:t>
            </w:r>
          </w:p>
        </w:tc>
        <w:tc>
          <w:tcPr>
            <w:tcW w:type="dxa" w:w="4032"/>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Offer a defined technical task that reduces staff workload and fits the care plan.</w:t>
            </w:r>
          </w:p>
        </w:tc>
      </w:tr>
      <w:tr>
        <w:trPr>
          <w:cantSplit/>
        </w:trPr>
        <w:tc>
          <w:tcPr>
            <w:tcW w:type="dxa" w:w="2707"/>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Retail support, family help and home-care agencies</w:t>
            </w:r>
          </w:p>
        </w:tc>
        <w:tc>
          <w:tcPr>
            <w:tcW w:type="dxa" w:w="3427"/>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Alternatives households may use for installation or ongoing assistance.</w:t>
            </w:r>
          </w:p>
        </w:tc>
        <w:tc>
          <w:tcPr>
            <w:tcW w:type="dxa" w:w="4032"/>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Validate local prices and dementia-specific capabilities in interviews.</w:t>
            </w:r>
          </w:p>
        </w:tc>
      </w:tr>
    </w:tbl>
    <w:p>
      <w:pPr>
        <w:spacing w:after="60" w:line="40" w:lineRule="exact"/>
      </w:pPr>
      <w:r>
        <w:rPr>
          <w:b w:val="0"/>
          <w:sz w:val="4"/>
        </w:rPr>
      </w:r>
    </w:p>
    <w:p>
      <w:pPr>
        <w:pStyle w:val="Heading2"/>
      </w:pPr>
      <w:r>
        <w:t>A referral-led launch</w:t>
      </w:r>
    </w:p>
    <w:p>
      <w:r>
        <w:rPr>
          <w:b w:val="0"/>
        </w:rPr>
        <w:t>Start with memory and geriatrics services, occupational therapists, adult day programs, home-care agencies and caregiver groups. Offer a brief demonstration of a real household task. Ask whether a family wants contact from the business; do not acquire patient lists or use a diagnosis as advertising data.</w:t>
      </w:r>
    </w:p>
    <w:p>
      <w:r>
        <w:rPr>
          <w:b w:val="0"/>
        </w:rPr>
        <w:t>Use a short intake call to determine fit, followed by a written fixed-scope quote. The buyer should understand what is included, who responds to alerts, monthly vendor costs, cancellation terms and any no-cost alternatives. The main promise is usable technology and dependable support, not a guarantee that a person will never fall or become lost.</w:t>
      </w:r>
    </w:p>
    <w:p>
      <w:pPr>
        <w:pStyle w:val="Heading2"/>
      </w:pPr>
      <w:r>
        <w:t>Test the sales process numerically</w:t>
      </w:r>
    </w:p>
    <w:p>
      <w:r>
        <w:rPr>
          <w:b w:val="0"/>
        </w:rPr>
        <w:t>To obtain ten starts a month, test a funnel of 40 suitable, permission-based inquiries and a 25% conversion rate. Track every inquiry source, reason for declining, support time and acquisition cost. Both the inquiry count and conversion rate are assumptions.</w:t>
      </w:r>
    </w:p>
    <w:p>
      <w:r>
        <w:rPr>
          <w:b w:val="0"/>
        </w:rPr>
        <w:t>With $600 monthly cash marketing and ten starts, the cash acquisition cost is $60 per start, excluding owner sales time already budgeted in overhead. If the business generates only four starts, that cost becomes $150. Institutional contracts may lower acquisition cost, but can add reporting requirements and delay payment.</w:t>
      </w:r>
    </w:p>
    <w:p>
      <w:r>
        <w:rPr>
          <w:b w:val="0"/>
        </w:rPr>
        <w:t>Do not pay for patient referrals. Structure organizational payments around documented services and obtain appropriate review of healthcare contracting and referral arrangements before signing.</w:t>
      </w:r>
    </w:p>
    <w:p>
      <w:r>
        <w:br w:type="page"/>
      </w:r>
    </w:p>
    <w:p>
      <w:pPr>
        <w:pStyle w:val="Heading1"/>
      </w:pPr>
      <w:r>
        <w:t>Proposed prices and unit economics</w:t>
      </w:r>
    </w:p>
    <w:p>
      <w:r>
        <w:rPr>
          <w:b w:val="0"/>
        </w:rPr>
        <w:t>These are pilot prices to test, including a conservative allowance for tax and card fees. Hardware, vendor connectivity or monitoring, and extraordinary travel are paid separately. The customer can buy equipment directly, reducing inventory exposure and conflicts in product selection.</w:t>
      </w:r>
    </w:p>
    <w:tbl>
      <w:tblPr>
        <w:tblW w:type="auto" w:w="0"/>
        <w:jc w:val="center"/>
        <w:tblLayout w:type="fixed"/>
        <w:tblLook w:firstColumn="1" w:firstRow="1" w:lastColumn="0" w:lastRow="0" w:noHBand="0" w:noVBand="1" w:val="04A0"/>
      </w:tblPr>
      <w:tblGrid>
        <w:gridCol w:w="2362"/>
        <w:gridCol w:w="1714"/>
        <w:gridCol w:w="6091"/>
      </w:tblGrid>
      <w:tr>
        <w:trPr>
          <w:tblHeader/>
          <w:cantSplit/>
        </w:trPr>
        <w:tc>
          <w:tcPr>
            <w:tcW w:type="dxa" w:w="2362"/>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Offer</w:t>
            </w:r>
          </w:p>
        </w:tc>
        <w:tc>
          <w:tcPr>
            <w:tcW w:type="dxa" w:w="1714"/>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Proposed price</w:t>
            </w:r>
          </w:p>
        </w:tc>
        <w:tc>
          <w:tcPr>
            <w:tcW w:type="dxa" w:w="6091"/>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Defined scope</w:t>
            </w:r>
          </w:p>
        </w:tc>
      </w:tr>
      <w:tr>
        <w:trPr>
          <w:cantSplit/>
        </w:trPr>
        <w:tc>
          <w:tcPr>
            <w:tcW w:type="dxa" w:w="2362"/>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Household setup</w:t>
            </w:r>
          </w:p>
        </w:tc>
        <w:tc>
          <w:tcPr>
            <w:tcW w:type="dxa" w:w="1714"/>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$295 once</w:t>
            </w:r>
          </w:p>
        </w:tc>
        <w:tc>
          <w:tcPr>
            <w:tcW w:type="dxa" w:w="6091"/>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Assessment, one supported configuration, caregiver practice and a short follow-up; allow three staff hours including local travel.</w:t>
            </w:r>
          </w:p>
        </w:tc>
      </w:tr>
      <w:tr>
        <w:trPr>
          <w:cantSplit/>
        </w:trPr>
        <w:tc>
          <w:tcPr>
            <w:tcW w:type="dxa" w:w="2362"/>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Continuing support</w:t>
            </w:r>
          </w:p>
        </w:tc>
        <w:tc>
          <w:tcPr>
            <w:tcW w:type="dxa" w:w="1714"/>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$79 per month</w:t>
            </w:r>
          </w:p>
        </w:tc>
        <w:tc>
          <w:tcPr>
            <w:tcW w:type="dxa" w:w="6091"/>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Scheduled check plus up to 60 minutes of remote assistance during published hours. Model assumes 36 minutes average use.</w:t>
            </w:r>
          </w:p>
        </w:tc>
      </w:tr>
      <w:tr>
        <w:trPr>
          <w:cantSplit/>
        </w:trPr>
        <w:tc>
          <w:tcPr>
            <w:tcW w:type="dxa" w:w="2362"/>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Organization workshop</w:t>
            </w:r>
          </w:p>
        </w:tc>
        <w:tc>
          <w:tcPr>
            <w:tcW w:type="dxa" w:w="1714"/>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$750</w:t>
            </w:r>
          </w:p>
        </w:tc>
        <w:tc>
          <w:tcPr>
            <w:tcW w:type="dxa" w:w="6091"/>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A prepared 90-minute group session; allow four total staff hours including preparation and follow-up.</w:t>
            </w:r>
          </w:p>
        </w:tc>
      </w:tr>
      <w:tr>
        <w:trPr>
          <w:cantSplit/>
        </w:trPr>
        <w:tc>
          <w:tcPr>
            <w:tcW w:type="dxa" w:w="2362"/>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Additional work</w:t>
            </w:r>
          </w:p>
        </w:tc>
        <w:tc>
          <w:tcPr>
            <w:tcW w:type="dxa" w:w="1714"/>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Written quote</w:t>
            </w:r>
          </w:p>
        </w:tc>
        <w:tc>
          <w:tcPr>
            <w:tcW w:type="dxa" w:w="6091"/>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Extra devices, home revisits, interpretation and travel beyond the local area require an agreed price.</w:t>
            </w:r>
          </w:p>
        </w:tc>
      </w:tr>
    </w:tbl>
    <w:p>
      <w:pPr>
        <w:spacing w:after="60" w:line="40" w:lineRule="exact"/>
      </w:pPr>
      <w:r>
        <w:rPr>
          <w:b w:val="0"/>
          <w:sz w:val="4"/>
        </w:rPr>
      </w:r>
    </w:p>
    <w:p>
      <w:pPr>
        <w:pStyle w:val="Heading2"/>
      </w:pPr>
      <w:r>
        <w:t>Contribution from each sale</w:t>
      </w:r>
    </w:p>
    <w:tbl>
      <w:tblPr>
        <w:tblW w:type="auto" w:w="0"/>
        <w:jc w:val="center"/>
        <w:tblLayout w:type="fixed"/>
        <w:tblLook w:firstColumn="1" w:firstRow="1" w:lastColumn="0" w:lastRow="0" w:noHBand="0" w:noVBand="1" w:val="04A0"/>
      </w:tblPr>
      <w:tblGrid>
        <w:gridCol w:w="3715"/>
        <w:gridCol w:w="2146"/>
        <w:gridCol w:w="2146"/>
        <w:gridCol w:w="2160"/>
      </w:tblGrid>
      <w:tr>
        <w:trPr>
          <w:tblHeader/>
          <w:cantSplit/>
        </w:trPr>
        <w:tc>
          <w:tcPr>
            <w:tcW w:type="dxa" w:w="3715"/>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Cost or contribution</w:t>
            </w:r>
          </w:p>
        </w:tc>
        <w:tc>
          <w:tcPr>
            <w:tcW w:type="dxa" w:w="2146"/>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Setup</w:t>
            </w:r>
          </w:p>
        </w:tc>
        <w:tc>
          <w:tcPr>
            <w:tcW w:type="dxa" w:w="2146"/>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Support month</w:t>
            </w:r>
          </w:p>
        </w:tc>
        <w:tc>
          <w:tcPr>
            <w:tcW w:type="dxa" w:w="2160"/>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Workshop</w:t>
            </w:r>
          </w:p>
        </w:tc>
      </w:tr>
      <w:tr>
        <w:trPr>
          <w:cantSplit/>
        </w:trPr>
        <w:tc>
          <w:tcPr>
            <w:tcW w:type="dxa" w:w="3715"/>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Revenue</w:t>
            </w:r>
          </w:p>
        </w:tc>
        <w:tc>
          <w:tcPr>
            <w:tcW w:type="dxa" w:w="2146"/>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$295.00</w:t>
            </w:r>
          </w:p>
        </w:tc>
        <w:tc>
          <w:tcPr>
            <w:tcW w:type="dxa" w:w="2146"/>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$79.00</w:t>
            </w:r>
          </w:p>
        </w:tc>
        <w:tc>
          <w:tcPr>
            <w:tcW w:type="dxa" w:w="2160"/>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$750.00</w:t>
            </w:r>
          </w:p>
        </w:tc>
      </w:tr>
      <w:tr>
        <w:trPr>
          <w:cantSplit/>
        </w:trPr>
        <w:tc>
          <w:tcPr>
            <w:tcW w:type="dxa" w:w="3715"/>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Direct labor at $40 per hour</w:t>
            </w:r>
          </w:p>
        </w:tc>
        <w:tc>
          <w:tcPr>
            <w:tcW w:type="dxa" w:w="2146"/>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$120.00</w:t>
            </w:r>
          </w:p>
        </w:tc>
        <w:tc>
          <w:tcPr>
            <w:tcW w:type="dxa" w:w="2146"/>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$24.00</w:t>
            </w:r>
          </w:p>
        </w:tc>
        <w:tc>
          <w:tcPr>
            <w:tcW w:type="dxa" w:w="2160"/>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$160.00</w:t>
            </w:r>
          </w:p>
        </w:tc>
      </w:tr>
      <w:tr>
        <w:trPr>
          <w:cantSplit/>
        </w:trPr>
        <w:tc>
          <w:tcPr>
            <w:tcW w:type="dxa" w:w="3715"/>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Local travel or materials</w:t>
            </w:r>
          </w:p>
        </w:tc>
        <w:tc>
          <w:tcPr>
            <w:tcW w:type="dxa" w:w="2146"/>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$30.00</w:t>
            </w:r>
          </w:p>
        </w:tc>
        <w:tc>
          <w:tcPr>
            <w:tcW w:type="dxa" w:w="2146"/>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$0.00</w:t>
            </w:r>
          </w:p>
        </w:tc>
        <w:tc>
          <w:tcPr>
            <w:tcW w:type="dxa" w:w="2160"/>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$40.00</w:t>
            </w:r>
          </w:p>
        </w:tc>
      </w:tr>
      <w:tr>
        <w:trPr>
          <w:cantSplit/>
        </w:trPr>
        <w:tc>
          <w:tcPr>
            <w:tcW w:type="dxa" w:w="3715"/>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Per-account software</w:t>
            </w:r>
          </w:p>
        </w:tc>
        <w:tc>
          <w:tcPr>
            <w:tcW w:type="dxa" w:w="2146"/>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$0.00</w:t>
            </w:r>
          </w:p>
        </w:tc>
        <w:tc>
          <w:tcPr>
            <w:tcW w:type="dxa" w:w="2146"/>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$5.00</w:t>
            </w:r>
          </w:p>
        </w:tc>
        <w:tc>
          <w:tcPr>
            <w:tcW w:type="dxa" w:w="2160"/>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$0.00</w:t>
            </w:r>
          </w:p>
        </w:tc>
      </w:tr>
      <w:tr>
        <w:trPr>
          <w:cantSplit/>
        </w:trPr>
        <w:tc>
          <w:tcPr>
            <w:tcW w:type="dxa" w:w="3715"/>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Card processing allowance 3%</w:t>
            </w:r>
          </w:p>
        </w:tc>
        <w:tc>
          <w:tcPr>
            <w:tcW w:type="dxa" w:w="2146"/>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$8.85</w:t>
            </w:r>
          </w:p>
        </w:tc>
        <w:tc>
          <w:tcPr>
            <w:tcW w:type="dxa" w:w="2146"/>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$2.37</w:t>
            </w:r>
          </w:p>
        </w:tc>
        <w:tc>
          <w:tcPr>
            <w:tcW w:type="dxa" w:w="2160"/>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$22.50</w:t>
            </w:r>
          </w:p>
        </w:tc>
      </w:tr>
      <w:tr>
        <w:trPr>
          <w:cantSplit/>
        </w:trPr>
        <w:tc>
          <w:tcPr>
            <w:tcW w:type="dxa" w:w="3715"/>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GET allowance 4.5%</w:t>
            </w:r>
          </w:p>
        </w:tc>
        <w:tc>
          <w:tcPr>
            <w:tcW w:type="dxa" w:w="2146"/>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$13.28</w:t>
            </w:r>
          </w:p>
        </w:tc>
        <w:tc>
          <w:tcPr>
            <w:tcW w:type="dxa" w:w="2146"/>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$3.56</w:t>
            </w:r>
          </w:p>
        </w:tc>
        <w:tc>
          <w:tcPr>
            <w:tcW w:type="dxa" w:w="2160"/>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$33.75</w:t>
            </w:r>
          </w:p>
        </w:tc>
      </w:tr>
      <w:tr>
        <w:trPr>
          <w:cantSplit/>
        </w:trPr>
        <w:tc>
          <w:tcPr>
            <w:tcW w:type="dxa" w:w="3715"/>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Contribution before fixed overhead</w:t>
            </w:r>
          </w:p>
        </w:tc>
        <w:tc>
          <w:tcPr>
            <w:tcW w:type="dxa" w:w="2146"/>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$122.88</w:t>
            </w:r>
          </w:p>
        </w:tc>
        <w:tc>
          <w:tcPr>
            <w:tcW w:type="dxa" w:w="2146"/>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$44.08</w:t>
            </w:r>
          </w:p>
        </w:tc>
        <w:tc>
          <w:tcPr>
            <w:tcW w:type="dxa" w:w="2160"/>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$493.75</w:t>
            </w:r>
          </w:p>
        </w:tc>
      </w:tr>
    </w:tbl>
    <w:p>
      <w:pPr>
        <w:spacing w:after="60" w:line="40" w:lineRule="exact"/>
      </w:pPr>
      <w:r>
        <w:rPr>
          <w:b w:val="0"/>
          <w:sz w:val="4"/>
        </w:rPr>
      </w:r>
    </w:p>
    <w:p>
      <w:r>
        <w:rPr>
          <w:b w:val="0"/>
        </w:rPr>
        <w:t>Calculations use unrounded amounts. The $40 labor rate is a planning assumption for loaded delivery cost; confirm employee costs or lawful contractor rates locally. Workshop preparation is assumed to reuse established material. Complex customization needs a separate quote.</w:t>
      </w:r>
    </w:p>
    <w:p>
      <w:r>
        <w:rPr>
          <w:b w:val="0"/>
        </w:rPr>
        <w:t>Hawaiʻi GET generally applies to gross receipts from services. The model conservatively absorbs 4.5% in the listed price, with no assumed healthcare exemption. An accountant should confirm the actual treatment of retail, subcontract and payer revenue. [22]</w:t>
      </w:r>
    </w:p>
    <w:p>
      <w:pPr>
        <w:pStyle w:val="Heading2"/>
      </w:pPr>
      <w:r>
        <w:t>Affordability is part of feasibility</w:t>
      </w:r>
    </w:p>
    <w:p>
      <w:r>
        <w:rPr>
          <w:b w:val="0"/>
        </w:rPr>
        <w:t>With a $250 device and a $35 monthly vendor charge, a full-year family cost would be $1,913: $250 equipment + $295 setup + $948 support + $420 vendor fees, before any additional vendor tax or shipping. That is a meaningful household expense. Offer setup-only purchases and sponsored accounts; test whether ongoing help is worth its price to families.</w:t>
      </w:r>
    </w:p>
    <w:p>
      <w:r>
        <w:br w:type="page"/>
      </w:r>
    </w:p>
    <w:p>
      <w:pPr>
        <w:pStyle w:val="Heading1"/>
      </w:pPr>
      <w:r>
        <w:t>Financial feasibility at operating scale</w:t>
      </w:r>
    </w:p>
    <w:p>
      <w:r>
        <w:rPr>
          <w:b w:val="0"/>
        </w:rPr>
        <w:t>The business can support a modest local operation if it controls support time. It does not yet support a conclusion that a high-income or rapidly scalable enterprise will emerge. The following figures describe representative months at different operating levels, not guaranteed stages of growth.</w:t>
      </w:r>
    </w:p>
    <w:tbl>
      <w:tblPr>
        <w:tblW w:type="auto" w:w="0"/>
        <w:jc w:val="center"/>
        <w:tblLayout w:type="fixed"/>
        <w:tblLook w:firstColumn="1" w:firstRow="1" w:lastColumn="0" w:lastRow="0" w:noHBand="0" w:noVBand="1" w:val="04A0"/>
      </w:tblPr>
      <w:tblGrid>
        <w:gridCol w:w="3974"/>
        <w:gridCol w:w="2059"/>
        <w:gridCol w:w="2059"/>
        <w:gridCol w:w="2074"/>
      </w:tblGrid>
      <w:tr>
        <w:trPr>
          <w:tblHeader/>
          <w:cantSplit/>
        </w:trPr>
        <w:tc>
          <w:tcPr>
            <w:tcW w:type="dxa" w:w="3974"/>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Monthly operating measure</w:t>
            </w:r>
          </w:p>
        </w:tc>
        <w:tc>
          <w:tcPr>
            <w:tcW w:type="dxa" w:w="2059"/>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Small</w:t>
            </w:r>
          </w:p>
        </w:tc>
        <w:tc>
          <w:tcPr>
            <w:tcW w:type="dxa" w:w="2059"/>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Near break even</w:t>
            </w:r>
          </w:p>
        </w:tc>
        <w:tc>
          <w:tcPr>
            <w:tcW w:type="dxa" w:w="2074"/>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Expanded</w:t>
            </w:r>
          </w:p>
        </w:tc>
      </w:tr>
      <w:tr>
        <w:trPr>
          <w:cantSplit/>
        </w:trPr>
        <w:tc>
          <w:tcPr>
            <w:tcW w:type="dxa" w:w="3974"/>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Active support households</w:t>
            </w:r>
          </w:p>
        </w:tc>
        <w:tc>
          <w:tcPr>
            <w:tcW w:type="dxa" w:w="2059"/>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30</w:t>
            </w:r>
          </w:p>
        </w:tc>
        <w:tc>
          <w:tcPr>
            <w:tcW w:type="dxa" w:w="2059"/>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80</w:t>
            </w:r>
          </w:p>
        </w:tc>
        <w:tc>
          <w:tcPr>
            <w:tcW w:type="dxa" w:w="2074"/>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160</w:t>
            </w:r>
          </w:p>
        </w:tc>
      </w:tr>
      <w:tr>
        <w:trPr>
          <w:cantSplit/>
        </w:trPr>
        <w:tc>
          <w:tcPr>
            <w:tcW w:type="dxa" w:w="3974"/>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New setups</w:t>
            </w:r>
          </w:p>
        </w:tc>
        <w:tc>
          <w:tcPr>
            <w:tcW w:type="dxa" w:w="2059"/>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5</w:t>
            </w:r>
          </w:p>
        </w:tc>
        <w:tc>
          <w:tcPr>
            <w:tcW w:type="dxa" w:w="2059"/>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10</w:t>
            </w:r>
          </w:p>
        </w:tc>
        <w:tc>
          <w:tcPr>
            <w:tcW w:type="dxa" w:w="2074"/>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15</w:t>
            </w:r>
          </w:p>
        </w:tc>
      </w:tr>
      <w:tr>
        <w:trPr>
          <w:cantSplit/>
        </w:trPr>
        <w:tc>
          <w:tcPr>
            <w:tcW w:type="dxa" w:w="3974"/>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Paid workshops</w:t>
            </w:r>
          </w:p>
        </w:tc>
        <w:tc>
          <w:tcPr>
            <w:tcW w:type="dxa" w:w="2059"/>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0</w:t>
            </w:r>
          </w:p>
        </w:tc>
        <w:tc>
          <w:tcPr>
            <w:tcW w:type="dxa" w:w="2059"/>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1</w:t>
            </w:r>
          </w:p>
        </w:tc>
        <w:tc>
          <w:tcPr>
            <w:tcW w:type="dxa" w:w="2074"/>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2</w:t>
            </w:r>
          </w:p>
        </w:tc>
      </w:tr>
      <w:tr>
        <w:trPr>
          <w:cantSplit/>
        </w:trPr>
        <w:tc>
          <w:tcPr>
            <w:tcW w:type="dxa" w:w="3974"/>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Revenue</w:t>
            </w:r>
          </w:p>
        </w:tc>
        <w:tc>
          <w:tcPr>
            <w:tcW w:type="dxa" w:w="2059"/>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$3,845</w:t>
            </w:r>
          </w:p>
        </w:tc>
        <w:tc>
          <w:tcPr>
            <w:tcW w:type="dxa" w:w="2059"/>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$10,020</w:t>
            </w:r>
          </w:p>
        </w:tc>
        <w:tc>
          <w:tcPr>
            <w:tcW w:type="dxa" w:w="2074"/>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$18,565</w:t>
            </w:r>
          </w:p>
        </w:tc>
      </w:tr>
      <w:tr>
        <w:trPr>
          <w:cantSplit/>
        </w:trPr>
        <w:tc>
          <w:tcPr>
            <w:tcW w:type="dxa" w:w="3974"/>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Variable delivery costs</w:t>
            </w:r>
          </w:p>
        </w:tc>
        <w:tc>
          <w:tcPr>
            <w:tcW w:type="dxa" w:w="2059"/>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$1,908</w:t>
            </w:r>
          </w:p>
        </w:tc>
        <w:tc>
          <w:tcPr>
            <w:tcW w:type="dxa" w:w="2059"/>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$4,772</w:t>
            </w:r>
          </w:p>
        </w:tc>
        <w:tc>
          <w:tcPr>
            <w:tcW w:type="dxa" w:w="2074"/>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$8,682</w:t>
            </w:r>
          </w:p>
        </w:tc>
      </w:tr>
      <w:tr>
        <w:trPr>
          <w:cantSplit/>
        </w:trPr>
        <w:tc>
          <w:tcPr>
            <w:tcW w:type="dxa" w:w="3974"/>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Contribution</w:t>
            </w:r>
          </w:p>
        </w:tc>
        <w:tc>
          <w:tcPr>
            <w:tcW w:type="dxa" w:w="2059"/>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$1,937</w:t>
            </w:r>
          </w:p>
        </w:tc>
        <w:tc>
          <w:tcPr>
            <w:tcW w:type="dxa" w:w="2059"/>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$5,249</w:t>
            </w:r>
          </w:p>
        </w:tc>
        <w:tc>
          <w:tcPr>
            <w:tcW w:type="dxa" w:w="2074"/>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$9,883</w:t>
            </w:r>
          </w:p>
        </w:tc>
      </w:tr>
      <w:tr>
        <w:trPr>
          <w:cantSplit/>
        </w:trPr>
        <w:tc>
          <w:tcPr>
            <w:tcW w:type="dxa" w:w="3974"/>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Fixed overhead</w:t>
            </w:r>
          </w:p>
        </w:tc>
        <w:tc>
          <w:tcPr>
            <w:tcW w:type="dxa" w:w="2059"/>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$5,000</w:t>
            </w:r>
          </w:p>
        </w:tc>
        <w:tc>
          <w:tcPr>
            <w:tcW w:type="dxa" w:w="2059"/>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$5,000</w:t>
            </w:r>
          </w:p>
        </w:tc>
        <w:tc>
          <w:tcPr>
            <w:tcW w:type="dxa" w:w="2074"/>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$5,000</w:t>
            </w:r>
          </w:p>
        </w:tc>
      </w:tr>
      <w:tr>
        <w:trPr>
          <w:cantSplit/>
        </w:trPr>
        <w:tc>
          <w:tcPr>
            <w:tcW w:type="dxa" w:w="3974"/>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Operating surplus or loss</w:t>
            </w:r>
          </w:p>
        </w:tc>
        <w:tc>
          <w:tcPr>
            <w:tcW w:type="dxa" w:w="2059"/>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−$3,063</w:t>
            </w:r>
          </w:p>
        </w:tc>
        <w:tc>
          <w:tcPr>
            <w:tcW w:type="dxa" w:w="2059"/>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+$249</w:t>
            </w:r>
          </w:p>
        </w:tc>
        <w:tc>
          <w:tcPr>
            <w:tcW w:type="dxa" w:w="2074"/>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+$4,883</w:t>
            </w:r>
          </w:p>
        </w:tc>
      </w:tr>
      <w:tr>
        <w:trPr>
          <w:cantSplit/>
        </w:trPr>
        <w:tc>
          <w:tcPr>
            <w:tcW w:type="dxa" w:w="3974"/>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Direct delivery hours</w:t>
            </w:r>
          </w:p>
        </w:tc>
        <w:tc>
          <w:tcPr>
            <w:tcW w:type="dxa" w:w="2059"/>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33</w:t>
            </w:r>
          </w:p>
        </w:tc>
        <w:tc>
          <w:tcPr>
            <w:tcW w:type="dxa" w:w="2059"/>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82</w:t>
            </w:r>
          </w:p>
        </w:tc>
        <w:tc>
          <w:tcPr>
            <w:tcW w:type="dxa" w:w="2074"/>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149</w:t>
            </w:r>
          </w:p>
        </w:tc>
      </w:tr>
    </w:tbl>
    <w:p>
      <w:pPr>
        <w:spacing w:after="60" w:line="40" w:lineRule="exact"/>
      </w:pPr>
      <w:r>
        <w:rPr>
          <w:b w:val="0"/>
          <w:sz w:val="4"/>
        </w:rPr>
      </w:r>
    </w:p>
    <w:p>
      <w:r>
        <w:rPr>
          <w:b w:val="0"/>
        </w:rPr>
        <w:t>Results are before income taxes, financing and one-time startup costs. Direct labor is included even if the owner performs it; the model does not depend on free labor. The expanded case is close to one person’s monthly delivery capacity before leave and interruptions and would need backup coverage.</w:t>
      </w:r>
    </w:p>
    <w:p>
      <w:pPr>
        <w:pStyle w:val="Heading2"/>
      </w:pPr>
      <w:r>
        <w:t>What the fixed overhead includes</w:t>
      </w:r>
    </w:p>
    <w:p>
      <w:r>
        <w:rPr>
          <w:b w:val="0"/>
        </w:rPr>
        <w:t>The $5,000 monthly allowance comprises $3,000 for owner management and sales time, $600 marketing, $350 insurance, $350 clinical consultation, $250 central systems, $250 local operating expense and $200 accounting. Per-household software and delivery labor are separate variable costs. These allowances require quotes and should not be interpreted as a full-time executive salary.</w:t>
      </w:r>
    </w:p>
    <w:p>
      <w:pPr>
        <w:pStyle w:val="Heading2"/>
      </w:pPr>
      <w:r>
        <w:t>The break even requirement</w:t>
      </w:r>
    </w:p>
    <w:p>
      <w:r>
        <w:rPr>
          <w:b w:val="0"/>
        </w:rPr>
        <w:t xml:space="preserve">At $44.075 contribution per support household per month, subscription revenue alone requires </w:t>
      </w:r>
      <w:r>
        <w:rPr>
          <w:b/>
        </w:rPr>
        <w:t>114 active households</w:t>
      </w:r>
      <w:r>
        <w:rPr>
          <w:b w:val="0"/>
        </w:rPr>
        <w:t xml:space="preserve"> to cover $5,000 overhead. With ten new setups each month, the threshold is </w:t>
      </w:r>
      <w:r>
        <w:rPr>
          <w:b/>
        </w:rPr>
        <w:t>86 households</w:t>
      </w:r>
      <w:r>
        <w:rPr>
          <w:b w:val="0"/>
        </w:rPr>
        <w:t xml:space="preserve">. With ten setups and one $750 workshop, it is </w:t>
      </w:r>
      <w:r>
        <w:rPr>
          <w:b/>
        </w:rPr>
        <w:t>75 households</w:t>
      </w:r>
      <w:r>
        <w:rPr>
          <w:b w:val="0"/>
        </w:rPr>
        <w:t>. These thresholds use the costs on the preceding page.</w:t>
      </w:r>
    </w:p>
    <w:p>
      <w:r>
        <w:rPr>
          <w:b w:val="0"/>
        </w:rPr>
        <w:t>A sponsor paying the same service prices can replace some family payments without changing the arithmetic. Do not add sponsored households twice, and do not count an organizational retainer again for households whose support is already covered by it. Lower contract rates require recalculating the margin.</w:t>
      </w:r>
    </w:p>
    <w:p>
      <w:r>
        <w:rPr>
          <w:b w:val="0"/>
        </w:rPr>
        <w:t>The near-break-even case produces only about $3,000 annualized operating surplus. That thin margin is why a paid pilot and documented support times are necessary. Reliable contracted volumes or more efficient delivery would improve resilience.</w:t>
      </w:r>
    </w:p>
    <w:p>
      <w:r>
        <w:br w:type="page"/>
      </w:r>
    </w:p>
    <w:p>
      <w:pPr>
        <w:pStyle w:val="Heading1"/>
      </w:pPr>
      <w:r>
        <w:t>Cash needs and financial sensitivity</w:t>
      </w:r>
    </w:p>
    <w:p>
      <w:pPr>
        <w:pStyle w:val="Heading2"/>
      </w:pPr>
      <w:r>
        <w:t>A first year with gradual enrollment</w:t>
      </w:r>
    </w:p>
    <w:p>
      <w:r>
        <w:rPr>
          <w:b w:val="0"/>
        </w:rPr>
        <w:t>Assume ten new support households per month from a starting base of zero, 4% monthly attrition, and one paid workshop each month. For simplicity, each new household is billed for a full support month on arrival. Active households follow this formula: prior month’s active households × 0.96 + 10.</w:t>
      </w:r>
    </w:p>
    <w:tbl>
      <w:tblPr>
        <w:tblW w:type="auto" w:w="0"/>
        <w:jc w:val="center"/>
        <w:tblLayout w:type="fixed"/>
        <w:tblLook w:firstColumn="1" w:firstRow="1" w:lastColumn="0" w:lastRow="0" w:noHBand="0" w:noVBand="1" w:val="04A0"/>
      </w:tblPr>
      <w:tblGrid>
        <w:gridCol w:w="6552"/>
        <w:gridCol w:w="3614"/>
      </w:tblGrid>
      <w:tr>
        <w:trPr>
          <w:tblHeader/>
          <w:cantSplit/>
        </w:trPr>
        <w:tc>
          <w:tcPr>
            <w:tcW w:type="dxa" w:w="6552"/>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First-year model output</w:t>
            </w:r>
          </w:p>
        </w:tc>
        <w:tc>
          <w:tcPr>
            <w:tcW w:type="dxa" w:w="3614"/>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Amount</w:t>
            </w:r>
          </w:p>
        </w:tc>
      </w:tr>
      <w:tr>
        <w:trPr>
          <w:cantSplit/>
        </w:trPr>
        <w:tc>
          <w:tcPr>
            <w:tcW w:type="dxa" w:w="6552"/>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Setups completed</w:t>
            </w:r>
          </w:p>
        </w:tc>
        <w:tc>
          <w:tcPr>
            <w:tcW w:type="dxa" w:w="3614"/>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120</w:t>
            </w:r>
          </w:p>
        </w:tc>
      </w:tr>
      <w:tr>
        <w:trPr>
          <w:cantSplit/>
        </w:trPr>
        <w:tc>
          <w:tcPr>
            <w:tcW w:type="dxa" w:w="6552"/>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Active households at month twelve</w:t>
            </w:r>
          </w:p>
        </w:tc>
        <w:tc>
          <w:tcPr>
            <w:tcW w:type="dxa" w:w="3614"/>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About 97</w:t>
            </w:r>
          </w:p>
        </w:tc>
      </w:tr>
      <w:tr>
        <w:trPr>
          <w:cantSplit/>
        </w:trPr>
        <w:tc>
          <w:tcPr>
            <w:tcW w:type="dxa" w:w="6552"/>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Total billed household months</w:t>
            </w:r>
          </w:p>
        </w:tc>
        <w:tc>
          <w:tcPr>
            <w:tcW w:type="dxa" w:w="3614"/>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About 676</w:t>
            </w:r>
          </w:p>
        </w:tc>
      </w:tr>
      <w:tr>
        <w:trPr>
          <w:cantSplit/>
        </w:trPr>
        <w:tc>
          <w:tcPr>
            <w:tcW w:type="dxa" w:w="6552"/>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Total revenue</w:t>
            </w:r>
          </w:p>
        </w:tc>
        <w:tc>
          <w:tcPr>
            <w:tcW w:type="dxa" w:w="3614"/>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$97,824</w:t>
            </w:r>
          </w:p>
        </w:tc>
      </w:tr>
      <w:tr>
        <w:trPr>
          <w:cantSplit/>
        </w:trPr>
        <w:tc>
          <w:tcPr>
            <w:tcW w:type="dxa" w:w="6552"/>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Operating result after $60,000 fixed overhead</w:t>
            </w:r>
          </w:p>
        </w:tc>
        <w:tc>
          <w:tcPr>
            <w:tcW w:type="dxa" w:w="3614"/>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Loss of about $9,524</w:t>
            </w:r>
          </w:p>
        </w:tc>
      </w:tr>
      <w:tr>
        <w:trPr>
          <w:cantSplit/>
        </w:trPr>
        <w:tc>
          <w:tcPr>
            <w:tcW w:type="dxa" w:w="6552"/>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One-time startup allowance</w:t>
            </w:r>
          </w:p>
        </w:tc>
        <w:tc>
          <w:tcPr>
            <w:tcW w:type="dxa" w:w="3614"/>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$22,000</w:t>
            </w:r>
          </w:p>
        </w:tc>
      </w:tr>
      <w:tr>
        <w:trPr>
          <w:cantSplit/>
        </w:trPr>
        <w:tc>
          <w:tcPr>
            <w:tcW w:type="dxa" w:w="6552"/>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Startup plus modeled first-year operating loss</w:t>
            </w:r>
          </w:p>
        </w:tc>
        <w:tc>
          <w:tcPr>
            <w:tcW w:type="dxa" w:w="3614"/>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About $31,524</w:t>
            </w:r>
          </w:p>
        </w:tc>
      </w:tr>
    </w:tbl>
    <w:p>
      <w:pPr>
        <w:spacing w:after="60" w:line="40" w:lineRule="exact"/>
      </w:pPr>
      <w:r>
        <w:rPr>
          <w:b w:val="0"/>
          <w:sz w:val="4"/>
        </w:rPr>
      </w:r>
    </w:p>
    <w:p>
      <w:r>
        <w:rPr>
          <w:b w:val="0"/>
        </w:rPr>
        <w:t>Monthly operations first become positive in month nine in this illustration. Delays, refunds, partial-month billing, fewer workshops or slow collections would worsen the result.</w:t>
      </w:r>
    </w:p>
    <w:p>
      <w:pPr>
        <w:pStyle w:val="Heading2"/>
      </w:pPr>
      <w:r>
        <w:t>Stage the investment</w:t>
      </w:r>
    </w:p>
    <w:p>
      <w:r>
        <w:rPr>
          <w:b w:val="0"/>
        </w:rPr>
        <w:t xml:space="preserve">For a larger launch, allow $22,000 one-time costs: $5,000 legal and privacy design; $2,000 insurance deposits; $3,500 demonstration equipment; $2,500 systems and website; $3,000 staff training and service materials; $3,000 launch outreach; and $3,000 contingency. Add a $30,000 cash reserve, for </w:t>
      </w:r>
      <w:r>
        <w:rPr>
          <w:b/>
        </w:rPr>
        <w:t>$52,000 total initial funding</w:t>
      </w:r>
      <w:r>
        <w:rPr>
          <w:b w:val="0"/>
        </w:rPr>
        <w:t>. The reserve is a liquidity buffer, not another expense to add to the annual loss.</w:t>
      </w:r>
    </w:p>
    <w:p>
      <w:r>
        <w:rPr>
          <w:b w:val="0"/>
        </w:rPr>
        <w:t>First cap a part-time pilot at $12,000–$18,000. Reusable pilot expenditures count toward the startup allowance. Defer bulk inventory, a storefront and custom software.</w:t>
      </w:r>
    </w:p>
    <w:p>
      <w:pPr>
        <w:pStyle w:val="Heading2"/>
      </w:pPr>
      <w:r>
        <w:t>The assumptions that can change the decision</w:t>
      </w:r>
    </w:p>
    <w:tbl>
      <w:tblPr>
        <w:tblW w:type="auto" w:w="0"/>
        <w:jc w:val="center"/>
        <w:tblLayout w:type="fixed"/>
        <w:tblLook w:firstColumn="1" w:firstRow="1" w:lastColumn="0" w:lastRow="0" w:noHBand="0" w:noVBand="1" w:val="04A0"/>
      </w:tblPr>
      <w:tblGrid>
        <w:gridCol w:w="4320"/>
        <w:gridCol w:w="5846"/>
      </w:tblGrid>
      <w:tr>
        <w:trPr>
          <w:tblHeader/>
          <w:cantSplit/>
        </w:trPr>
        <w:tc>
          <w:tcPr>
            <w:tcW w:type="dxa" w:w="4320"/>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Change from near-break-even case</w:t>
            </w:r>
          </w:p>
        </w:tc>
        <w:tc>
          <w:tcPr>
            <w:tcW w:type="dxa" w:w="5846"/>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Monthly consequence</w:t>
            </w:r>
          </w:p>
        </w:tc>
      </w:tr>
      <w:tr>
        <w:trPr>
          <w:cantSplit/>
        </w:trPr>
        <w:tc>
          <w:tcPr>
            <w:tcW w:type="dxa" w:w="4320"/>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Unbilled support effort rises from 36 to 72 minutes</w:t>
            </w:r>
          </w:p>
        </w:tc>
        <w:tc>
          <w:tcPr>
            <w:tcW w:type="dxa" w:w="5846"/>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An additional $1,920 labor cost; $249 surplus becomes about $1,672 loss.</w:t>
            </w:r>
          </w:p>
        </w:tc>
      </w:tr>
      <w:tr>
        <w:trPr>
          <w:cantSplit/>
        </w:trPr>
        <w:tc>
          <w:tcPr>
            <w:tcW w:type="dxa" w:w="4320"/>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Support price falls from $79 to $59</w:t>
            </w:r>
          </w:p>
        </w:tc>
        <w:tc>
          <w:tcPr>
            <w:tcW w:type="dxa" w:w="5846"/>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About $1,480 less contribution at 80 households, holding other costs constant.</w:t>
            </w:r>
          </w:p>
        </w:tc>
      </w:tr>
      <w:tr>
        <w:trPr>
          <w:cantSplit/>
        </w:trPr>
        <w:tc>
          <w:tcPr>
            <w:tcW w:type="dxa" w:w="4320"/>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One workshop does not sell</w:t>
            </w:r>
          </w:p>
        </w:tc>
        <w:tc>
          <w:tcPr>
            <w:tcW w:type="dxa" w:w="5846"/>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Contribution falls by about $494.</w:t>
            </w:r>
          </w:p>
        </w:tc>
      </w:tr>
      <w:tr>
        <w:trPr>
          <w:cantSplit/>
        </w:trPr>
        <w:tc>
          <w:tcPr>
            <w:tcW w:type="dxa" w:w="4320"/>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Slow payment or unpriced island travel</w:t>
            </w:r>
          </w:p>
        </w:tc>
        <w:tc>
          <w:tcPr>
            <w:tcW w:type="dxa" w:w="5846"/>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A 60-day payment lag requires financing two months of contract receipts. Travel can consume setup margin.</w:t>
            </w:r>
          </w:p>
        </w:tc>
      </w:tr>
    </w:tbl>
    <w:p>
      <w:pPr>
        <w:spacing w:after="60" w:line="40" w:lineRule="exact"/>
      </w:pPr>
      <w:r>
        <w:rPr>
          <w:b w:val="0"/>
          <w:sz w:val="4"/>
        </w:rPr>
      </w:r>
    </w:p>
    <w:p>
      <w:r>
        <w:br w:type="page"/>
      </w:r>
    </w:p>
    <w:p>
      <w:pPr>
        <w:pStyle w:val="Heading1"/>
      </w:pPr>
      <w:r>
        <w:t>A ninety day pilot</w:t>
      </w:r>
    </w:p>
    <w:p>
      <w:r>
        <w:rPr>
          <w:b w:val="0"/>
        </w:rPr>
        <w:t xml:space="preserve">The pilot should answer whether families use the service, whether someone pays its full economic cost, and whether support can be delivered within the price. Recruit </w:t>
      </w:r>
      <w:r>
        <w:rPr>
          <w:b/>
        </w:rPr>
        <w:t>30 households</w:t>
      </w:r>
      <w:r>
        <w:rPr>
          <w:b w:val="0"/>
        </w:rPr>
        <w:t>, for example 20 on Oʻahu and ten through one neighbor island partner. Include a range of caregiver confidence, languages, incomes and dementia-related needs.</w:t>
      </w:r>
    </w:p>
    <w:tbl>
      <w:tblPr>
        <w:tblW w:type="auto" w:w="0"/>
        <w:jc w:val="center"/>
        <w:tblLayout w:type="fixed"/>
        <w:tblLook w:firstColumn="1" w:firstRow="1" w:lastColumn="0" w:lastRow="0" w:noHBand="0" w:noVBand="1" w:val="04A0"/>
      </w:tblPr>
      <w:tblGrid>
        <w:gridCol w:w="1555"/>
        <w:gridCol w:w="4507"/>
        <w:gridCol w:w="4104"/>
      </w:tblGrid>
      <w:tr>
        <w:trPr>
          <w:tblHeader/>
          <w:cantSplit/>
        </w:trPr>
        <w:tc>
          <w:tcPr>
            <w:tcW w:type="dxa" w:w="1555"/>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Period</w:t>
            </w:r>
          </w:p>
        </w:tc>
        <w:tc>
          <w:tcPr>
            <w:tcW w:type="dxa" w:w="4507"/>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Work to complete</w:t>
            </w:r>
          </w:p>
        </w:tc>
        <w:tc>
          <w:tcPr>
            <w:tcW w:type="dxa" w:w="4104"/>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Evidence required</w:t>
            </w:r>
          </w:p>
        </w:tc>
      </w:tr>
      <w:tr>
        <w:trPr>
          <w:cantSplit/>
        </w:trPr>
        <w:tc>
          <w:tcPr>
            <w:tcW w:type="dxa" w:w="1555"/>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Days 1 to 15</w:t>
            </w:r>
          </w:p>
        </w:tc>
        <w:tc>
          <w:tcPr>
            <w:tcW w:type="dxa" w:w="4507"/>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Interview 20 caregivers and ten referral, payer or provider representatives. Map available no-cost help.</w:t>
            </w:r>
          </w:p>
        </w:tc>
        <w:tc>
          <w:tcPr>
            <w:tcW w:type="dxa" w:w="4104"/>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Document practical problems, purchase alternatives, willingness to pay and coverage questions.</w:t>
            </w:r>
          </w:p>
        </w:tc>
      </w:tr>
      <w:tr>
        <w:trPr>
          <w:cantSplit/>
        </w:trPr>
        <w:tc>
          <w:tcPr>
            <w:tcW w:type="dxa" w:w="1555"/>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Days 16 to 30</w:t>
            </w:r>
          </w:p>
        </w:tc>
        <w:tc>
          <w:tcPr>
            <w:tcW w:type="dxa" w:w="4507"/>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Choose a small device set; confirm liability cover, scope, privacy process and local partner.</w:t>
            </w:r>
          </w:p>
        </w:tc>
        <w:tc>
          <w:tcPr>
            <w:tcW w:type="dxa" w:w="4104"/>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Written quotes, supported configurations, training materials and an agreed escalation process.</w:t>
            </w:r>
          </w:p>
        </w:tc>
      </w:tr>
      <w:tr>
        <w:trPr>
          <w:cantSplit/>
        </w:trPr>
        <w:tc>
          <w:tcPr>
            <w:tcW w:type="dxa" w:w="1555"/>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Days 31 to 60</w:t>
            </w:r>
          </w:p>
        </w:tc>
        <w:tc>
          <w:tcPr>
            <w:tcW w:type="dxa" w:w="4507"/>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Enroll and train 30 households in small cohorts.</w:t>
            </w:r>
          </w:p>
        </w:tc>
        <w:tc>
          <w:tcPr>
            <w:tcW w:type="dxa" w:w="4104"/>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Recorded consent, account ownership, tested functions and caregiver demonstration of key tasks.</w:t>
            </w:r>
          </w:p>
        </w:tc>
      </w:tr>
      <w:tr>
        <w:trPr>
          <w:cantSplit/>
        </w:trPr>
        <w:tc>
          <w:tcPr>
            <w:tcW w:type="dxa" w:w="1555"/>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Days 61 to 90</w:t>
            </w:r>
          </w:p>
        </w:tc>
        <w:tc>
          <w:tcPr>
            <w:tcW w:type="dxa" w:w="4507"/>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Measure continued use, actual costs and paid continuation.</w:t>
            </w:r>
          </w:p>
        </w:tc>
        <w:tc>
          <w:tcPr>
            <w:tcW w:type="dxa" w:w="4104"/>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A decision report by payment source and island, including families who stopped.</w:t>
            </w:r>
          </w:p>
        </w:tc>
      </w:tr>
    </w:tbl>
    <w:p>
      <w:pPr>
        <w:spacing w:after="60" w:line="40" w:lineRule="exact"/>
      </w:pPr>
      <w:r>
        <w:rPr>
          <w:b w:val="0"/>
          <w:sz w:val="4"/>
        </w:rPr>
      </w:r>
    </w:p>
    <w:p>
      <w:pPr>
        <w:pStyle w:val="Heading2"/>
      </w:pPr>
      <w:r>
        <w:t>Predetermine the decision criteria</w:t>
      </w:r>
    </w:p>
    <w:tbl>
      <w:tblPr>
        <w:tblW w:type="auto" w:w="0"/>
        <w:jc w:val="center"/>
        <w:tblLayout w:type="fixed"/>
        <w:tblLook w:firstColumn="1" w:firstRow="1" w:lastColumn="0" w:lastRow="0" w:noHBand="0" w:noVBand="1" w:val="04A0"/>
      </w:tblPr>
      <w:tblGrid>
        <w:gridCol w:w="3053"/>
        <w:gridCol w:w="7114"/>
      </w:tblGrid>
      <w:tr>
        <w:trPr>
          <w:tblHeader/>
          <w:cantSplit/>
        </w:trPr>
        <w:tc>
          <w:tcPr>
            <w:tcW w:type="dxa" w:w="3053"/>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Measure</w:t>
            </w:r>
          </w:p>
        </w:tc>
        <w:tc>
          <w:tcPr>
            <w:tcW w:type="dxa" w:w="7114"/>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Proposed threshold</w:t>
            </w:r>
          </w:p>
        </w:tc>
      </w:tr>
      <w:tr>
        <w:trPr>
          <w:cantSplit/>
        </w:trPr>
        <w:tc>
          <w:tcPr>
            <w:tcW w:type="dxa" w:w="3053"/>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Paying demand</w:t>
            </w:r>
          </w:p>
        </w:tc>
        <w:tc>
          <w:tcPr>
            <w:tcW w:type="dxa" w:w="7114"/>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At least 15 households pay the intended price or have a signed sponsor paying its equivalent; separately report family-paid demand.</w:t>
            </w:r>
          </w:p>
        </w:tc>
      </w:tr>
      <w:tr>
        <w:trPr>
          <w:cantSplit/>
        </w:trPr>
        <w:tc>
          <w:tcPr>
            <w:tcW w:type="dxa" w:w="3053"/>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Activation</w:t>
            </w:r>
          </w:p>
        </w:tc>
        <w:tc>
          <w:tcPr>
            <w:tcW w:type="dxa" w:w="7114"/>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At least 90% complete setup and caregiver demonstration within seven days of equipment being available.</w:t>
            </w:r>
          </w:p>
        </w:tc>
      </w:tr>
      <w:tr>
        <w:trPr>
          <w:cantSplit/>
        </w:trPr>
        <w:tc>
          <w:tcPr>
            <w:tcW w:type="dxa" w:w="3053"/>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Continued usability</w:t>
            </w:r>
          </w:p>
        </w:tc>
        <w:tc>
          <w:tcPr>
            <w:tcW w:type="dxa" w:w="7114"/>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At least 80% remain able to use the intended functions at 30 days.</w:t>
            </w:r>
          </w:p>
        </w:tc>
      </w:tr>
      <w:tr>
        <w:trPr>
          <w:cantSplit/>
        </w:trPr>
        <w:tc>
          <w:tcPr>
            <w:tcW w:type="dxa" w:w="3053"/>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Labor and quality</w:t>
            </w:r>
          </w:p>
        </w:tc>
        <w:tc>
          <w:tcPr>
            <w:tcW w:type="dxa" w:w="7114"/>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Mean setup at or below three hours; average support at or below 36 minutes monthly; investigate the most time-intensive 10%.</w:t>
            </w:r>
          </w:p>
        </w:tc>
      </w:tr>
      <w:tr>
        <w:trPr>
          <w:cantSplit/>
        </w:trPr>
        <w:tc>
          <w:tcPr>
            <w:tcW w:type="dxa" w:w="3053"/>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Willingness to continue</w:t>
            </w:r>
          </w:p>
        </w:tc>
        <w:tc>
          <w:tcPr>
            <w:tcW w:type="dxa" w:w="7114"/>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At least 70% of those offered paid continuation accept; record reasons for refusal.</w:t>
            </w:r>
          </w:p>
        </w:tc>
      </w:tr>
      <w:tr>
        <w:trPr>
          <w:cantSplit/>
        </w:trPr>
        <w:tc>
          <w:tcPr>
            <w:tcW w:type="dxa" w:w="3053"/>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Contract pathway</w:t>
            </w:r>
          </w:p>
        </w:tc>
        <w:tc>
          <w:tcPr>
            <w:tcW w:type="dxa" w:w="7114"/>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At least one signed paid pilot or service agreement with a care organization or sponsor, with defined scope and rates.</w:t>
            </w:r>
          </w:p>
        </w:tc>
      </w:tr>
    </w:tbl>
    <w:p>
      <w:pPr>
        <w:spacing w:after="60" w:line="40" w:lineRule="exact"/>
      </w:pPr>
      <w:r>
        <w:rPr>
          <w:b w:val="0"/>
          <w:sz w:val="4"/>
        </w:rPr>
      </w:r>
    </w:p>
    <w:p>
      <w:r>
        <w:rPr>
          <w:b w:val="0"/>
        </w:rPr>
        <w:t>These are proposed decision thresholds, not research benchmarks. Measure function, reliability, caregiver confidence and time burden. This small pilot cannot establish reductions in admissions or falls. Review serious incidents promptly; an incident-free pilot is not proof of safety.</w:t>
      </w:r>
    </w:p>
    <w:p>
      <w:r>
        <w:rPr>
          <w:b w:val="0"/>
        </w:rPr>
        <w:t>Expand only if demand, quality and margin pass. If payment fails, test sponsorship. If time or travel exceeds the price, revise scope or pricing before expansion.</w:t>
      </w:r>
    </w:p>
    <w:p>
      <w:r>
        <w:br w:type="page"/>
      </w:r>
    </w:p>
    <w:p>
      <w:pPr>
        <w:pStyle w:val="Heading1"/>
      </w:pPr>
      <w:r>
        <w:t>Risks and conditions for a launch</w:t>
      </w:r>
    </w:p>
    <w:p>
      <w:pPr>
        <w:pStyle w:val="Heading2"/>
      </w:pPr>
      <w:r>
        <w:t>Health benefits should be measured rather than promised</w:t>
      </w:r>
    </w:p>
    <w:p>
      <w:r>
        <w:rPr>
          <w:b w:val="0"/>
        </w:rPr>
        <w:t>The ATTILA randomized trial enrolled 495 people with dementia in England. A fuller assistive technology package did not significantly extend community living after adjustment or reduce caregiver burden compared with basic technology support. Differences in equipment, assessment and implementation limit how directly it predicts this Hawaiʻi service. It nevertheless argues against promising that more devices will prevent institutional care or produce medical savings. [23]</w:t>
      </w:r>
    </w:p>
    <w:p>
      <w:r>
        <w:rPr>
          <w:b w:val="0"/>
        </w:rPr>
        <w:t>The Alzheimer’s Association reports that six in ten people living with dementia will wander at least once. That is a reason to assess needs carefully, not evidence that a tracker prevents wandering or that every household needs one. [20]</w:t>
      </w:r>
    </w:p>
    <w:tbl>
      <w:tblPr>
        <w:tblW w:type="auto" w:w="0"/>
        <w:jc w:val="center"/>
        <w:tblLayout w:type="fixed"/>
        <w:tblLook w:firstColumn="1" w:firstRow="1" w:lastColumn="0" w:lastRow="0" w:noHBand="0" w:noVBand="1" w:val="04A0"/>
      </w:tblPr>
      <w:tblGrid>
        <w:gridCol w:w="2952"/>
        <w:gridCol w:w="7214"/>
      </w:tblGrid>
      <w:tr>
        <w:trPr>
          <w:tblHeader/>
          <w:cantSplit/>
        </w:trPr>
        <w:tc>
          <w:tcPr>
            <w:tcW w:type="dxa" w:w="2952"/>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Risk</w:t>
            </w:r>
          </w:p>
        </w:tc>
        <w:tc>
          <w:tcPr>
            <w:tcW w:type="dxa" w:w="7214"/>
            <w:vAlign w:val="center"/>
            <w:shd w:fill="203A53"/>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color w:val="FFFFFF"/>
                <w:sz w:val="20"/>
              </w:rPr>
              <w:t>Required operating response</w:t>
            </w:r>
          </w:p>
        </w:tc>
      </w:tr>
      <w:tr>
        <w:trPr>
          <w:cantSplit/>
        </w:trPr>
        <w:tc>
          <w:tcPr>
            <w:tcW w:type="dxa" w:w="2952"/>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Device fails or is not worn</w:t>
            </w:r>
          </w:p>
        </w:tc>
        <w:tc>
          <w:tcPr>
            <w:tcW w:type="dxa" w:w="7214"/>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Test practical use and charging, document limits, and establish a human fallback. Reassess repeated failures.</w:t>
            </w:r>
          </w:p>
        </w:tc>
      </w:tr>
      <w:tr>
        <w:trPr>
          <w:cantSplit/>
        </w:trPr>
        <w:tc>
          <w:tcPr>
            <w:tcW w:type="dxa" w:w="2952"/>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Alerts have no responder</w:t>
            </w:r>
          </w:p>
        </w:tc>
        <w:tc>
          <w:tcPr>
            <w:tcW w:type="dxa" w:w="7214"/>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Identify a nearby person or contracted response center before activating a safety service.</w:t>
            </w:r>
          </w:p>
        </w:tc>
      </w:tr>
      <w:tr>
        <w:trPr>
          <w:cantSplit/>
        </w:trPr>
        <w:tc>
          <w:tcPr>
            <w:tcW w:type="dxa" w:w="2952"/>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Excessive surveillance or family conflict</w:t>
            </w:r>
          </w:p>
        </w:tc>
        <w:tc>
          <w:tcPr>
            <w:tcW w:type="dxa" w:w="7214"/>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Confirm consent and authority, limit access, and pause disputed requests.</w:t>
            </w:r>
          </w:p>
        </w:tc>
      </w:tr>
      <w:tr>
        <w:trPr>
          <w:cantSplit/>
        </w:trPr>
        <w:tc>
          <w:tcPr>
            <w:tcW w:type="dxa" w:w="2952"/>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Sensitive information is exposed</w:t>
            </w:r>
          </w:p>
        </w:tc>
        <w:tc>
          <w:tcPr>
            <w:tcW w:type="dxa" w:w="7214"/>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Use minimal data, separate accounts, multifactor authentication, secure records and an incident process.</w:t>
            </w:r>
          </w:p>
        </w:tc>
      </w:tr>
      <w:tr>
        <w:trPr>
          <w:cantSplit/>
        </w:trPr>
        <w:tc>
          <w:tcPr>
            <w:tcW w:type="dxa" w:w="2952"/>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Scope expands into clinical care</w:t>
            </w:r>
          </w:p>
        </w:tc>
        <w:tc>
          <w:tcPr>
            <w:tcW w:type="dxa" w:w="7214"/>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Refer medical decisions and licensed tasks to qualified professionals; obtain scope and insurance review.</w:t>
            </w:r>
          </w:p>
        </w:tc>
      </w:tr>
      <w:tr>
        <w:trPr>
          <w:cantSplit/>
        </w:trPr>
        <w:tc>
          <w:tcPr>
            <w:tcW w:type="dxa" w:w="2952"/>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Support workload grows</w:t>
            </w:r>
          </w:p>
        </w:tc>
        <w:tc>
          <w:tcPr>
            <w:tcW w:type="dxa" w:w="7214"/>
            <w:vAlign w:val="center"/>
            <w:shd w:fill="FFFFFF"/>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Track time, define included assistance, quote added work and reserve backup staffing.</w:t>
            </w:r>
          </w:p>
        </w:tc>
      </w:tr>
      <w:tr>
        <w:trPr>
          <w:cantSplit/>
        </w:trPr>
        <w:tc>
          <w:tcPr>
            <w:tcW w:type="dxa" w:w="2952"/>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A payer or partner withdraws</w:t>
            </w:r>
          </w:p>
        </w:tc>
        <w:tc>
          <w:tcPr>
            <w:tcW w:type="dxa" w:w="7214"/>
            <w:vAlign w:val="center"/>
            <w:shd w:fill="F1F5F8"/>
            <w:tcBorders>
              <w:top w:val="single" w:sz="4" w:color="D9D9D9"/>
              <w:left w:val="single" w:sz="4" w:color="D9D9D9"/>
              <w:bottom w:val="single" w:sz="4" w:color="D9D9D9"/>
              <w:right w:val="single" w:sz="4" w:color="D9D9D9"/>
            </w:tcBorders>
            <w:tcMar>
              <w:top w:w="60" w:type="dxa"/>
              <w:left w:w="85" w:type="dxa"/>
              <w:bottom w:w="60" w:type="dxa"/>
              <w:right w:w="85" w:type="dxa"/>
            </w:tcMar>
          </w:tcPr>
          <w:p>
            <w:pPr>
              <w:spacing w:after="40" w:before="40" w:line="240" w:lineRule="auto"/>
            </w:pPr>
            <w:r>
              <w:rPr>
                <w:b w:val="0"/>
                <w:color w:val="000000"/>
                <w:sz w:val="20"/>
              </w:rPr>
              <w:t>Avoid dependence on one contract; maintain cash and an orderly transfer process.</w:t>
            </w:r>
          </w:p>
        </w:tc>
      </w:tr>
    </w:tbl>
    <w:p>
      <w:pPr>
        <w:spacing w:after="60" w:line="40" w:lineRule="exact"/>
      </w:pPr>
      <w:r>
        <w:rPr>
          <w:b w:val="0"/>
          <w:sz w:val="4"/>
        </w:rPr>
      </w:r>
    </w:p>
    <w:p>
      <w:r>
        <w:rPr>
          <w:b w:val="0"/>
        </w:rPr>
        <w:t>A provider-facing technical contractor handling protected health information may be a HIPAA business associate and need the appropriate agreement and safeguards. A direct-to-consumer service is not automatically covered by HIPAA, but consumer protection and potentially FTC health-data rules still apply. Map the actual data flow before choosing support software. [24, 25]</w:t>
      </w:r>
    </w:p>
    <w:p>
      <w:pPr>
        <w:pStyle w:val="Heading2"/>
      </w:pPr>
      <w:r>
        <w:t>Recommended business structure and next decision</w:t>
      </w:r>
    </w:p>
    <w:p>
      <w:r>
        <w:rPr>
          <w:b w:val="0"/>
        </w:rPr>
        <w:t>Begin as a small service business working with established nonprofits, care organizations and device vendors. An LLC may be suitable, subject to local legal and tax advice. There is no business case yet for manufacturing a device, building a proprietary monitoring platform, opening retail premises, or operating an emergency center.</w:t>
      </w:r>
    </w:p>
    <w:p>
      <w:r>
        <w:rPr>
          <w:b w:val="0"/>
        </w:rPr>
        <w:t>Authorize only the pilot after a competent delivery lead, local response arrangements, suitable insurance and a realistic recruitment route are identified. The case for a business is credible. The case for large investment remains conditional on paid demand, measured service time and a written contracting path.</w:t>
      </w:r>
    </w:p>
    <w:p>
      <w:r>
        <w:br w:type="page"/>
      </w:r>
    </w:p>
    <w:p>
      <w:pPr>
        <w:pStyle w:val="Heading1"/>
      </w:pPr>
      <w:r>
        <w:t>Sources for demand and Medicare</w:t>
      </w:r>
    </w:p>
    <w:p>
      <w:r>
        <w:rPr>
          <w:b w:val="0"/>
        </w:rPr>
        <w:t>Numbered references support the factual findings. Financial assumptions and proposed pilot targets are original planning estimates. Web materials were reviewed September 11–12, 2026; benefit and product terms should be checked again before contracting.</w:t>
      </w:r>
    </w:p>
    <w:p>
      <w:pPr>
        <w:spacing w:after="60"/>
      </w:pPr>
      <w:r>
        <w:rPr>
          <w:b/>
        </w:rPr>
        <w:t>[1] Alzheimer’s Association. Hawaii Alzheimer’s Disease Facts and Figures 2026.</w:t>
      </w:r>
    </w:p>
    <w:p>
      <w:pPr>
        <w:spacing w:after="40"/>
      </w:pPr>
      <w:r>
        <w:rPr>
          <w:b w:val="0"/>
        </w:rPr>
        <w:t>The sheet labels prevalence as 2020; distinguish publication year from underlying data year.</w:t>
      </w:r>
    </w:p>
    <w:p>
      <w:pPr>
        <w:spacing w:after="200"/>
      </w:pPr>
      <w:r>
        <w:rPr>
          <w:b w:val="0"/>
        </w:rPr>
      </w:r>
      <w:hyperlink r:id="rId11">
        <w:r>
          <w:rPr>
            <w:color w:val="174F78"/>
            <w:sz w:val="20"/>
          </w:rPr>
          <w:t>Open source</w:t>
        </w:r>
      </w:hyperlink>
    </w:p>
    <w:p>
      <w:pPr>
        <w:spacing w:after="60"/>
      </w:pPr>
      <w:r>
        <w:rPr>
          <w:b/>
        </w:rPr>
        <w:t>[2] User-supplied reference. HANAI Memory Network infographic dated August 28 2025.</w:t>
      </w:r>
    </w:p>
    <w:p>
      <w:pPr>
        <w:spacing w:after="40"/>
      </w:pPr>
      <w:r>
        <w:rPr>
          <w:b w:val="0"/>
        </w:rPr>
        <w:t>Proposal context, including access pathways and proposed staffing. The enacted law controls current statutory conclusions.</w:t>
      </w:r>
    </w:p>
    <w:p>
      <w:pPr>
        <w:spacing w:after="60"/>
      </w:pPr>
      <w:r>
        <w:rPr>
          <w:b/>
        </w:rPr>
        <w:t>[3] Medicare.gov. Durable medical equipment coverage.</w:t>
      </w:r>
    </w:p>
    <w:p>
      <w:pPr>
        <w:spacing w:after="40"/>
      </w:pPr>
      <w:r>
        <w:rPr>
          <w:b w:val="0"/>
        </w:rPr>
        <w:t>Definition, ordering, supplier participation and patient costs.</w:t>
      </w:r>
    </w:p>
    <w:p>
      <w:pPr>
        <w:spacing w:after="200"/>
      </w:pPr>
      <w:r>
        <w:rPr>
          <w:b w:val="0"/>
        </w:rPr>
      </w:r>
      <w:hyperlink r:id="rId12">
        <w:r>
          <w:rPr>
            <w:color w:val="174F78"/>
            <w:sz w:val="20"/>
          </w:rPr>
          <w:t>Open source</w:t>
        </w:r>
      </w:hyperlink>
    </w:p>
    <w:p>
      <w:pPr>
        <w:spacing w:after="60"/>
      </w:pPr>
      <w:r>
        <w:rPr>
          <w:b/>
        </w:rPr>
        <w:t>[4] Mutual of Omaha. Medicare Medical Alert Systems published June 17 2025.</w:t>
      </w:r>
    </w:p>
    <w:p>
      <w:pPr>
        <w:spacing w:after="40"/>
      </w:pPr>
      <w:r>
        <w:rPr>
          <w:b w:val="0"/>
        </w:rPr>
        <w:t>Insurer explanation of Original Medicare limitations and variable Medicare Advantage benefits; not a Hawaiʻi plan contract.</w:t>
      </w:r>
    </w:p>
    <w:p>
      <w:pPr>
        <w:spacing w:after="200"/>
      </w:pPr>
      <w:r>
        <w:rPr>
          <w:b w:val="0"/>
        </w:rPr>
      </w:r>
      <w:hyperlink r:id="rId13">
        <w:r>
          <w:rPr>
            <w:color w:val="174F78"/>
            <w:sz w:val="20"/>
          </w:rPr>
          <w:t>Open source</w:t>
        </w:r>
      </w:hyperlink>
    </w:p>
    <w:p>
      <w:pPr>
        <w:spacing w:after="60"/>
      </w:pPr>
      <w:r>
        <w:rPr>
          <w:b/>
        </w:rPr>
        <w:t>[5] Medicare.gov. Caregiver training services.</w:t>
      </w:r>
    </w:p>
    <w:p>
      <w:pPr>
        <w:spacing w:after="40"/>
      </w:pPr>
      <w:r>
        <w:rPr>
          <w:b w:val="0"/>
        </w:rPr>
        <w:t>Treatment-plan conditions, eligible providers and patient cost-sharing.</w:t>
      </w:r>
    </w:p>
    <w:p>
      <w:pPr>
        <w:spacing w:after="200"/>
      </w:pPr>
      <w:r>
        <w:rPr>
          <w:b w:val="0"/>
        </w:rPr>
      </w:r>
      <w:hyperlink r:id="rId14">
        <w:r>
          <w:rPr>
            <w:color w:val="174F78"/>
            <w:sz w:val="20"/>
          </w:rPr>
          <w:t>Open source</w:t>
        </w:r>
      </w:hyperlink>
    </w:p>
    <w:p>
      <w:pPr>
        <w:spacing w:after="60"/>
      </w:pPr>
      <w:r>
        <w:rPr>
          <w:b/>
        </w:rPr>
        <w:t>[6] Centers for Medicare and Medicaid Services. GUIDE Model Frequently Asked Questions.</w:t>
      </w:r>
    </w:p>
    <w:p>
      <w:pPr>
        <w:spacing w:after="40"/>
      </w:pPr>
      <w:r>
        <w:rPr>
          <w:b w:val="0"/>
        </w:rPr>
        <w:t>Eligibility, partner organizations, payments, cost-sharing and closed participant application cycle.</w:t>
      </w:r>
    </w:p>
    <w:p>
      <w:pPr>
        <w:spacing w:after="200"/>
      </w:pPr>
      <w:r>
        <w:rPr>
          <w:b w:val="0"/>
        </w:rPr>
      </w:r>
      <w:hyperlink r:id="rId15">
        <w:r>
          <w:rPr>
            <w:color w:val="174F78"/>
            <w:sz w:val="20"/>
          </w:rPr>
          <w:t>Open source</w:t>
        </w:r>
      </w:hyperlink>
    </w:p>
    <w:p>
      <w:pPr>
        <w:spacing w:after="60"/>
      </w:pPr>
      <w:r>
        <w:rPr>
          <w:b/>
        </w:rPr>
        <w:t>[7] Centers for Medicare and Medicaid Services. GUIDE Model overview.</w:t>
      </w:r>
    </w:p>
    <w:p>
      <w:pPr>
        <w:spacing w:after="40"/>
      </w:pPr>
      <w:r>
        <w:rPr>
          <w:b w:val="0"/>
        </w:rPr>
        <w:t>Care coordination, education and respite payment structure.</w:t>
      </w:r>
    </w:p>
    <w:p>
      <w:pPr>
        <w:spacing w:after="200"/>
      </w:pPr>
      <w:r>
        <w:rPr>
          <w:b w:val="0"/>
        </w:rPr>
      </w:r>
      <w:hyperlink r:id="rId16">
        <w:r>
          <w:rPr>
            <w:color w:val="174F78"/>
            <w:sz w:val="20"/>
          </w:rPr>
          <w:t>Open source</w:t>
        </w:r>
      </w:hyperlink>
    </w:p>
    <w:p>
      <w:pPr>
        <w:spacing w:after="60"/>
      </w:pPr>
      <w:r>
        <w:rPr>
          <w:b/>
        </w:rPr>
        <w:t>[8] Hawaiʻi Pacific Health. Geriatrics and Straub Benioff GUIDE Model Program.</w:t>
      </w:r>
    </w:p>
    <w:p>
      <w:pPr>
        <w:spacing w:after="40"/>
      </w:pPr>
      <w:r>
        <w:rPr>
          <w:b w:val="0"/>
        </w:rPr>
        <w:t>Confirms local participation and published service description; contract capacity must be discussed.</w:t>
      </w:r>
    </w:p>
    <w:p>
      <w:pPr>
        <w:spacing w:after="200"/>
      </w:pPr>
      <w:r>
        <w:rPr>
          <w:b w:val="0"/>
        </w:rPr>
      </w:r>
      <w:hyperlink r:id="rId17">
        <w:r>
          <w:rPr>
            <w:color w:val="174F78"/>
            <w:sz w:val="20"/>
          </w:rPr>
          <w:t>Open source</w:t>
        </w:r>
      </w:hyperlink>
    </w:p>
    <w:p>
      <w:pPr>
        <w:spacing w:after="60"/>
      </w:pPr>
      <w:r>
        <w:rPr>
          <w:b/>
        </w:rPr>
        <w:t>[9] Centers for Medicare and Medicaid Services. Remote Patient Monitoring updated May 13 2026.</w:t>
      </w:r>
    </w:p>
    <w:p>
      <w:pPr>
        <w:spacing w:after="40"/>
      </w:pPr>
      <w:r>
        <w:rPr>
          <w:b w:val="0"/>
        </w:rPr>
        <w:t>Clinical purpose, device characteristics, education, data transmission and treatment components.</w:t>
      </w:r>
    </w:p>
    <w:p>
      <w:pPr>
        <w:spacing w:after="200"/>
      </w:pPr>
      <w:r>
        <w:rPr>
          <w:b w:val="0"/>
        </w:rPr>
      </w:r>
      <w:hyperlink r:id="rId18">
        <w:r>
          <w:rPr>
            <w:color w:val="174F78"/>
            <w:sz w:val="20"/>
          </w:rPr>
          <w:t>Open source</w:t>
        </w:r>
      </w:hyperlink>
    </w:p>
    <w:p>
      <w:r>
        <w:br w:type="page"/>
      </w:r>
    </w:p>
    <w:p>
      <w:pPr>
        <w:pStyle w:val="Heading1"/>
      </w:pPr>
      <w:r>
        <w:t>Sources for Hawaii and technology</w:t>
      </w:r>
    </w:p>
    <w:p>
      <w:pPr>
        <w:spacing w:after="60"/>
      </w:pPr>
      <w:r>
        <w:rPr>
          <w:b/>
        </w:rPr>
        <w:t>[10] CMS and State of Hawaiʻi. QUEST Integration approval January 8 2025 through December 31 2029.</w:t>
      </w:r>
    </w:p>
    <w:p>
      <w:pPr>
        <w:spacing w:after="40"/>
      </w:pPr>
      <w:r>
        <w:rPr>
          <w:b w:val="0"/>
        </w:rPr>
        <w:t>PDF pages 48 and 153–157 describe service eligibility and definitions; printed page numbers differ.</w:t>
      </w:r>
    </w:p>
    <w:p>
      <w:pPr>
        <w:spacing w:after="200"/>
      </w:pPr>
      <w:r>
        <w:rPr>
          <w:b w:val="0"/>
        </w:rPr>
      </w:r>
      <w:hyperlink r:id="rId19">
        <w:r>
          <w:rPr>
            <w:color w:val="174F78"/>
            <w:sz w:val="20"/>
          </w:rPr>
          <w:t>Open source</w:t>
        </w:r>
      </w:hyperlink>
    </w:p>
    <w:p>
      <w:pPr>
        <w:spacing w:after="60"/>
      </w:pPr>
      <w:r>
        <w:rPr>
          <w:b/>
        </w:rPr>
        <w:t>[11] HMSA. QUEST Member Handbook effective April 2026.</w:t>
      </w:r>
    </w:p>
    <w:p>
      <w:pPr>
        <w:spacing w:after="40"/>
      </w:pPr>
      <w:r>
        <w:rPr>
          <w:b w:val="0"/>
        </w:rPr>
        <w:t>PERS description and prior approval on printed page 46, PDF page 51.</w:t>
      </w:r>
    </w:p>
    <w:p>
      <w:pPr>
        <w:spacing w:after="200"/>
      </w:pPr>
      <w:r>
        <w:rPr>
          <w:b w:val="0"/>
        </w:rPr>
      </w:r>
      <w:hyperlink r:id="rId20">
        <w:r>
          <w:rPr>
            <w:color w:val="174F78"/>
            <w:sz w:val="20"/>
          </w:rPr>
          <w:t>Open source</w:t>
        </w:r>
      </w:hyperlink>
    </w:p>
    <w:p>
      <w:pPr>
        <w:spacing w:after="60"/>
      </w:pPr>
      <w:r>
        <w:rPr>
          <w:b/>
        </w:rPr>
        <w:t>[12] State of Hawaiʻi. Act 245 and Governor Message 1347 for HB 1853 signed July 14 2026.</w:t>
      </w:r>
    </w:p>
    <w:p>
      <w:pPr>
        <w:spacing w:after="40"/>
      </w:pPr>
      <w:r>
        <w:rPr>
          <w:b w:val="0"/>
        </w:rPr>
        <w:t>Final enacted text and fiscal year 2026–2027 appropriation, rather than introduced bill or earlier advocacy proposal.</w:t>
      </w:r>
    </w:p>
    <w:p>
      <w:pPr>
        <w:spacing w:after="200"/>
      </w:pPr>
      <w:r>
        <w:rPr>
          <w:b w:val="0"/>
        </w:rPr>
      </w:r>
      <w:hyperlink r:id="rId21">
        <w:r>
          <w:rPr>
            <w:color w:val="174F78"/>
            <w:sz w:val="20"/>
          </w:rPr>
          <w:t>Open source</w:t>
        </w:r>
      </w:hyperlink>
    </w:p>
    <w:p>
      <w:pPr>
        <w:spacing w:after="60"/>
      </w:pPr>
      <w:r>
        <w:rPr>
          <w:b/>
        </w:rPr>
        <w:t>[13] Assistive Technology Resource Centers of Hawaiʻi. About ATRC.</w:t>
      </w:r>
    </w:p>
    <w:p>
      <w:pPr>
        <w:spacing w:after="40"/>
      </w:pPr>
      <w:r>
        <w:rPr>
          <w:b w:val="0"/>
        </w:rPr>
        <w:t>Statewide assistive technology guidance, device exploration and training.</w:t>
      </w:r>
    </w:p>
    <w:p>
      <w:pPr>
        <w:spacing w:after="200"/>
      </w:pPr>
      <w:r>
        <w:rPr>
          <w:b w:val="0"/>
        </w:rPr>
      </w:r>
      <w:hyperlink r:id="rId22">
        <w:r>
          <w:rPr>
            <w:color w:val="174F78"/>
            <w:sz w:val="20"/>
          </w:rPr>
          <w:t>Open source</w:t>
        </w:r>
      </w:hyperlink>
    </w:p>
    <w:p>
      <w:pPr>
        <w:spacing w:after="60"/>
      </w:pPr>
      <w:r>
        <w:rPr>
          <w:b/>
        </w:rPr>
        <w:t>[14] Apple Support. Use Fall Detection with Apple Watch published May 6 2026.</w:t>
      </w:r>
    </w:p>
    <w:p>
      <w:pPr>
        <w:spacing w:after="40"/>
      </w:pPr>
      <w:r>
        <w:rPr>
          <w:b w:val="0"/>
        </w:rPr>
        <w:t>Detection limits, device configuration and connection requirements.</w:t>
      </w:r>
    </w:p>
    <w:p>
      <w:pPr>
        <w:spacing w:after="200"/>
      </w:pPr>
      <w:r>
        <w:rPr>
          <w:b w:val="0"/>
        </w:rPr>
      </w:r>
      <w:hyperlink r:id="rId23">
        <w:r>
          <w:rPr>
            <w:color w:val="174F78"/>
            <w:sz w:val="20"/>
          </w:rPr>
          <w:t>Open source</w:t>
        </w:r>
      </w:hyperlink>
    </w:p>
    <w:p>
      <w:pPr>
        <w:spacing w:after="60"/>
      </w:pPr>
      <w:r>
        <w:rPr>
          <w:b/>
        </w:rPr>
        <w:t>[15] Jiobit. GPS tracker for seniors.</w:t>
      </w:r>
    </w:p>
    <w:p>
      <w:pPr>
        <w:spacing w:after="40"/>
      </w:pPr>
      <w:r>
        <w:rPr>
          <w:b w:val="0"/>
        </w:rPr>
        <w:t>Supplier description of location sharing and caregiver access. Coverage and actual battery performance require local validation.</w:t>
      </w:r>
    </w:p>
    <w:p>
      <w:pPr>
        <w:spacing w:after="200"/>
      </w:pPr>
      <w:r>
        <w:rPr>
          <w:b w:val="0"/>
        </w:rPr>
      </w:r>
      <w:hyperlink r:id="rId24">
        <w:r>
          <w:rPr>
            <w:color w:val="174F78"/>
            <w:sz w:val="20"/>
          </w:rPr>
          <w:t>Open source</w:t>
        </w:r>
      </w:hyperlink>
    </w:p>
    <w:p>
      <w:pPr>
        <w:spacing w:after="60"/>
      </w:pPr>
      <w:r>
        <w:rPr>
          <w:b/>
        </w:rPr>
        <w:t>[16] Medical Guardian. MGMini product information.</w:t>
      </w:r>
    </w:p>
    <w:p>
      <w:pPr>
        <w:spacing w:after="40"/>
      </w:pPr>
      <w:r>
        <w:rPr>
          <w:b w:val="0"/>
        </w:rPr>
        <w:t>Supplier description of monitored alerts, cellular connection and optional fall detection.</w:t>
      </w:r>
    </w:p>
    <w:p>
      <w:pPr>
        <w:spacing w:after="200"/>
      </w:pPr>
      <w:r>
        <w:rPr>
          <w:b w:val="0"/>
        </w:rPr>
      </w:r>
      <w:hyperlink r:id="rId25">
        <w:r>
          <w:rPr>
            <w:color w:val="174F78"/>
            <w:sz w:val="20"/>
          </w:rPr>
          <w:t>Open source</w:t>
        </w:r>
      </w:hyperlink>
    </w:p>
    <w:p>
      <w:pPr>
        <w:spacing w:after="60"/>
      </w:pPr>
      <w:r>
        <w:rPr>
          <w:b/>
        </w:rPr>
        <w:t>[17] RAZ Mobility. RAZ Memory Cell Phone.</w:t>
      </w:r>
    </w:p>
    <w:p>
      <w:pPr>
        <w:spacing w:after="40"/>
      </w:pPr>
      <w:r>
        <w:rPr>
          <w:b w:val="0"/>
        </w:rPr>
        <w:t>Supplier description of simplified calling and caregiver management.</w:t>
      </w:r>
    </w:p>
    <w:p>
      <w:pPr>
        <w:spacing w:after="200"/>
      </w:pPr>
      <w:r>
        <w:rPr>
          <w:b w:val="0"/>
        </w:rPr>
      </w:r>
      <w:hyperlink r:id="rId26">
        <w:r>
          <w:rPr>
            <w:color w:val="174F78"/>
            <w:sz w:val="20"/>
          </w:rPr>
          <w:t>Open source</w:t>
        </w:r>
      </w:hyperlink>
    </w:p>
    <w:p>
      <w:pPr>
        <w:spacing w:after="60"/>
      </w:pPr>
      <w:r>
        <w:rPr>
          <w:b/>
        </w:rPr>
        <w:t>[18] Medicare.gov. Travel outside the United States.</w:t>
      </w:r>
    </w:p>
    <w:p>
      <w:pPr>
        <w:spacing w:after="40"/>
      </w:pPr>
      <w:r>
        <w:rPr>
          <w:b w:val="0"/>
        </w:rPr>
        <w:t>Defines U.S. territory for Medicare coverage; does not guarantee availability of a specific local service.</w:t>
      </w:r>
    </w:p>
    <w:p>
      <w:pPr>
        <w:spacing w:after="200"/>
      </w:pPr>
      <w:r>
        <w:rPr>
          <w:b w:val="0"/>
        </w:rPr>
      </w:r>
      <w:hyperlink r:id="rId27">
        <w:r>
          <w:rPr>
            <w:color w:val="174F78"/>
            <w:sz w:val="20"/>
          </w:rPr>
          <w:t>Open source</w:t>
        </w:r>
      </w:hyperlink>
    </w:p>
    <w:p>
      <w:r>
        <w:br w:type="page"/>
      </w:r>
    </w:p>
    <w:p>
      <w:pPr>
        <w:pStyle w:val="Heading1"/>
      </w:pPr>
      <w:r>
        <w:t>Sources for operating requirements</w:t>
      </w:r>
    </w:p>
    <w:p>
      <w:pPr>
        <w:spacing w:after="60"/>
      </w:pPr>
      <w:r>
        <w:rPr>
          <w:b/>
        </w:rPr>
        <w:t>[19] Food and Drug Administration. General Wellness Policy for Low Risk Devices January 2026.</w:t>
      </w:r>
    </w:p>
    <w:p>
      <w:pPr>
        <w:spacing w:after="40"/>
      </w:pPr>
      <w:r>
        <w:rPr>
          <w:b w:val="0"/>
        </w:rPr>
        <w:t>Regulatory treatment of wellness products is distinct from insurance coverage.</w:t>
      </w:r>
    </w:p>
    <w:p>
      <w:pPr>
        <w:spacing w:after="200"/>
      </w:pPr>
      <w:r>
        <w:rPr>
          <w:b w:val="0"/>
        </w:rPr>
      </w:r>
      <w:hyperlink r:id="rId28">
        <w:r>
          <w:rPr>
            <w:color w:val="174F78"/>
            <w:sz w:val="20"/>
          </w:rPr>
          <w:t>Open source</w:t>
        </w:r>
      </w:hyperlink>
    </w:p>
    <w:p>
      <w:pPr>
        <w:spacing w:after="60"/>
      </w:pPr>
      <w:r>
        <w:rPr>
          <w:b/>
        </w:rPr>
        <w:t>[20] Alzheimer’s Association. Wandering.</w:t>
      </w:r>
    </w:p>
    <w:p>
      <w:pPr>
        <w:spacing w:after="40"/>
      </w:pPr>
      <w:r>
        <w:rPr>
          <w:b w:val="0"/>
        </w:rPr>
        <w:t>Risk information and safety strategies; no guarantee of prevention.</w:t>
      </w:r>
    </w:p>
    <w:p>
      <w:pPr>
        <w:spacing w:after="200"/>
      </w:pPr>
      <w:r>
        <w:rPr>
          <w:b w:val="0"/>
        </w:rPr>
      </w:r>
      <w:hyperlink r:id="rId29">
        <w:r>
          <w:rPr>
            <w:color w:val="174F78"/>
            <w:sz w:val="20"/>
          </w:rPr>
          <w:t>Open source</w:t>
        </w:r>
      </w:hyperlink>
    </w:p>
    <w:p>
      <w:pPr>
        <w:spacing w:after="60"/>
      </w:pPr>
      <w:r>
        <w:rPr>
          <w:b/>
        </w:rPr>
        <w:t>[21] Hawaiʻi Aging and Disability Resource Center. Statewide ADRC.</w:t>
      </w:r>
    </w:p>
    <w:p>
      <w:pPr>
        <w:spacing w:after="40"/>
      </w:pPr>
      <w:r>
        <w:rPr>
          <w:b w:val="0"/>
        </w:rPr>
        <w:t>Access to aging and caregiver service information.</w:t>
      </w:r>
    </w:p>
    <w:p>
      <w:pPr>
        <w:spacing w:after="200"/>
      </w:pPr>
      <w:r>
        <w:rPr>
          <w:b w:val="0"/>
        </w:rPr>
      </w:r>
      <w:hyperlink r:id="rId30">
        <w:r>
          <w:rPr>
            <w:color w:val="174F78"/>
            <w:sz w:val="20"/>
          </w:rPr>
          <w:t>Open source</w:t>
        </w:r>
      </w:hyperlink>
    </w:p>
    <w:p>
      <w:pPr>
        <w:spacing w:after="60"/>
      </w:pPr>
      <w:r>
        <w:rPr>
          <w:b/>
        </w:rPr>
        <w:t>[22] Hawaiʻi Department of Taxation. General Excise Tax information.</w:t>
      </w:r>
    </w:p>
    <w:p>
      <w:pPr>
        <w:spacing w:after="40"/>
      </w:pPr>
      <w:r>
        <w:rPr>
          <w:b w:val="0"/>
        </w:rPr>
        <w:t>Tax on gross business receipts, including services; actual exemptions require assessment.</w:t>
      </w:r>
    </w:p>
    <w:p>
      <w:pPr>
        <w:spacing w:after="200"/>
      </w:pPr>
      <w:r>
        <w:rPr>
          <w:b w:val="0"/>
        </w:rPr>
      </w:r>
      <w:hyperlink r:id="rId31">
        <w:r>
          <w:rPr>
            <w:color w:val="174F78"/>
            <w:sz w:val="20"/>
          </w:rPr>
          <w:t>Open source</w:t>
        </w:r>
      </w:hyperlink>
    </w:p>
    <w:p>
      <w:pPr>
        <w:spacing w:after="60"/>
      </w:pPr>
      <w:r>
        <w:rPr>
          <w:b/>
        </w:rPr>
        <w:t>[23] Gathercole and colleagues. Assistive technology and telecare to maintain independent living at home for people with dementia the ATTILA RCT 2021.</w:t>
      </w:r>
    </w:p>
    <w:p>
      <w:pPr>
        <w:spacing w:after="40"/>
      </w:pPr>
      <w:r>
        <w:rPr>
          <w:b w:val="0"/>
        </w:rPr>
        <w:t>Randomized trial, implementation limitations and measured outcomes.</w:t>
      </w:r>
    </w:p>
    <w:p>
      <w:pPr>
        <w:spacing w:after="200"/>
      </w:pPr>
      <w:r>
        <w:rPr>
          <w:b w:val="0"/>
        </w:rPr>
      </w:r>
      <w:hyperlink r:id="rId32">
        <w:r>
          <w:rPr>
            <w:color w:val="174F78"/>
            <w:sz w:val="20"/>
          </w:rPr>
          <w:t>Open source</w:t>
        </w:r>
      </w:hyperlink>
    </w:p>
    <w:p>
      <w:pPr>
        <w:spacing w:after="60"/>
      </w:pPr>
      <w:r>
        <w:rPr>
          <w:b/>
        </w:rPr>
        <w:t>[24] U.S. Department of Health and Human Services. Business Associates reviewed July 30 2026.</w:t>
      </w:r>
    </w:p>
    <w:p>
      <w:pPr>
        <w:spacing w:after="40"/>
      </w:pPr>
      <w:r>
        <w:rPr>
          <w:b w:val="0"/>
        </w:rPr>
        <w:t>Technical service relationships involving protected health information and required agreements.</w:t>
      </w:r>
    </w:p>
    <w:p>
      <w:pPr>
        <w:spacing w:after="200"/>
      </w:pPr>
      <w:r>
        <w:rPr>
          <w:b w:val="0"/>
        </w:rPr>
      </w:r>
      <w:hyperlink r:id="rId33">
        <w:r>
          <w:rPr>
            <w:color w:val="174F78"/>
            <w:sz w:val="20"/>
          </w:rPr>
          <w:t>Open source</w:t>
        </w:r>
      </w:hyperlink>
    </w:p>
    <w:p>
      <w:pPr>
        <w:spacing w:after="60"/>
      </w:pPr>
      <w:r>
        <w:rPr>
          <w:b/>
        </w:rPr>
        <w:t>[25] Federal Trade Commission. Collecting Using or Sharing Consumer Health Information.</w:t>
      </w:r>
    </w:p>
    <w:p>
      <w:pPr>
        <w:spacing w:after="40"/>
      </w:pPr>
      <w:r>
        <w:rPr>
          <w:b w:val="0"/>
        </w:rPr>
        <w:t>HIPAA, FTC Act and Health Breach Notification Rule applicability.</w:t>
      </w:r>
    </w:p>
    <w:p>
      <w:pPr>
        <w:spacing w:after="200"/>
      </w:pPr>
      <w:r>
        <w:rPr>
          <w:b w:val="0"/>
        </w:rPr>
      </w:r>
      <w:hyperlink r:id="rId34">
        <w:r>
          <w:rPr>
            <w:color w:val="174F78"/>
            <w:sz w:val="20"/>
          </w:rPr>
          <w:t>Open source</w:t>
        </w:r>
      </w:hyperlink>
    </w:p>
    <w:p>
      <w:pPr>
        <w:pStyle w:val="Heading2"/>
      </w:pPr>
      <w:r>
        <w:t>Unresolved items before investment</w:t>
      </w:r>
    </w:p>
    <w:p>
      <w:r>
        <w:rPr>
          <w:b w:val="0"/>
        </w:rPr>
        <w:t>Caregiver willingness to pay; exact local competitors and capacity; supplier prices and carrier performance; plan-specific covered products and rates; partner procurement and enrollment requirements; actual staffing, insurance and travel costs. Resolve these through the pilot and written agreements before committing the larger launch budget.</w:t>
      </w:r>
    </w:p>
    <w:sectPr w:rsidR="00FC693F" w:rsidRPr="0006063C" w:rsidSect="00034616">
      <w:headerReference w:type="default" r:id="rId9"/>
      <w:footerReference w:type="default" r:id="rId10"/>
      <w:pgSz w:w="12240" w:h="15840"/>
      <w:pgMar w:top="936" w:right="1037" w:bottom="936" w:left="1037"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Jerry Perone  |  September 2026  |  Page </w:t>
    </w:r>
    <w:fldSimple w:instr="PAGE"/>
    <w:r>
      <w:rPr>
        <w:sz w:val="16"/>
      </w:rPr>
      <w:t xml:space="preserve"> of </w:t>
    </w:r>
    <w:fldSimple w:instr="NUMPAGES"/>
    <w:r>
      <w:rPr>
        <w:sz w:val="16"/>
      </w:r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000000"/>
        <w:sz w:val="16"/>
      </w:rPr>
      <w:t>JERRY PERONE  |  BUSINESS FEASIBILITY STUDY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7"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60"/>
      <w:outlineLvl w:val="0"/>
    </w:pPr>
    <w:rPr>
      <w:rFonts w:asciiTheme="majorHAnsi" w:eastAsiaTheme="majorEastAsia" w:hAnsiTheme="majorHAnsi" w:cstheme="majorBidi" w:ascii="Calibri" w:hAnsi="Calibri"/>
      <w:b/>
      <w:bCs/>
      <w:color w:val="000000"/>
      <w:sz w:val="42"/>
      <w:szCs w:val="28"/>
    </w:rPr>
  </w:style>
  <w:style w:type="paragraph" w:styleId="Heading2">
    <w:name w:val="heading 2"/>
    <w:basedOn w:val="Normal"/>
    <w:next w:val="Normal"/>
    <w:link w:val="Heading2Char"/>
    <w:uiPriority w:val="9"/>
    <w:unhideWhenUsed/>
    <w:qFormat/>
    <w:rsid w:val="00FC693F"/>
    <w:pPr>
      <w:keepNext/>
      <w:keepLines/>
      <w:spacing w:before="180" w:after="16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180"/>
      <w:contextualSpacing/>
    </w:pPr>
    <w:rPr>
      <w:rFonts w:asciiTheme="majorHAnsi" w:eastAsiaTheme="majorEastAsia" w:hAnsiTheme="majorHAnsi" w:cstheme="majorBidi" w:ascii="Calibri" w:hAnsi="Calibri"/>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80" w:after="160"/>
    </w:pPr>
    <w:rPr>
      <w:rFonts w:asciiTheme="majorHAnsi" w:eastAsiaTheme="majorEastAsia" w:hAnsiTheme="majorHAnsi" w:cstheme="majorBidi" w:ascii="Calibri" w:hAnsi="Calibri"/>
      <w:i/>
      <w:iCs/>
      <w:color w:val="000000"/>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alz.org/getmedia/ae09dc00-0420-4f88-9096-43dfee72faaa/hawaii-alzheimers-facts-figures.pdf" TargetMode="External"/><Relationship Id="rId12" Type="http://schemas.openxmlformats.org/officeDocument/2006/relationships/hyperlink" Target="https://www.medicare.gov/coverage/durable-medical-equipment-dme-coverage" TargetMode="External"/><Relationship Id="rId13" Type="http://schemas.openxmlformats.org/officeDocument/2006/relationships/hyperlink" Target="https://www.mutualofomaha.com/advice/medicare/medicare-coverage/medical-alert-system" TargetMode="External"/><Relationship Id="rId14" Type="http://schemas.openxmlformats.org/officeDocument/2006/relationships/hyperlink" Target="https://www.medicare.gov/coverage/caregiver-training-services" TargetMode="External"/><Relationship Id="rId15" Type="http://schemas.openxmlformats.org/officeDocument/2006/relationships/hyperlink" Target="https://www.cms.gov/priorities/innovation/guide/faqs" TargetMode="External"/><Relationship Id="rId16" Type="http://schemas.openxmlformats.org/officeDocument/2006/relationships/hyperlink" Target="https://www.cms.gov/priorities/innovation/innovation-models/guide" TargetMode="External"/><Relationship Id="rId17" Type="http://schemas.openxmlformats.org/officeDocument/2006/relationships/hyperlink" Target="https://www.hawaiipacifichealth.org/services/geriatrics/" TargetMode="External"/><Relationship Id="rId18" Type="http://schemas.openxmlformats.org/officeDocument/2006/relationships/hyperlink" Target="https://www.cms.gov/medicare/coverage/telehealth/remote-patient-monitoring" TargetMode="External"/><Relationship Id="rId19" Type="http://schemas.openxmlformats.org/officeDocument/2006/relationships/hyperlink" Target="https://www.medicaid.gov/medicaid/section-1115-demonstrations/downloads/hi-quest-int-dmnstn-aprvl-01082025.pdf" TargetMode="External"/><Relationship Id="rId20" Type="http://schemas.openxmlformats.org/officeDocument/2006/relationships/hyperlink" Target="https://www.hmsa.com/content/assets/member-handbook-quest.pdf" TargetMode="External"/><Relationship Id="rId21" Type="http://schemas.openxmlformats.org/officeDocument/2006/relationships/hyperlink" Target="https://data.capitol.hawaii.gov/sessions/session2026/bills/GM1347_.PDF" TargetMode="External"/><Relationship Id="rId22" Type="http://schemas.openxmlformats.org/officeDocument/2006/relationships/hyperlink" Target="https://www.atrc.org/about-atrc" TargetMode="External"/><Relationship Id="rId23" Type="http://schemas.openxmlformats.org/officeDocument/2006/relationships/hyperlink" Target="https://support.apple.com/en-us/108896" TargetMode="External"/><Relationship Id="rId24" Type="http://schemas.openxmlformats.org/officeDocument/2006/relationships/hyperlink" Target="https://www.jiobit.com/seniors" TargetMode="External"/><Relationship Id="rId25" Type="http://schemas.openxmlformats.org/officeDocument/2006/relationships/hyperlink" Target="https://www.medicalguardian.com/medical-alert-systems/gps-button-fall-detection" TargetMode="External"/><Relationship Id="rId26" Type="http://schemas.openxmlformats.org/officeDocument/2006/relationships/hyperlink" Target="https://www.razmobility.com/product/raz-memory-cell-phone-verizon/" TargetMode="External"/><Relationship Id="rId27" Type="http://schemas.openxmlformats.org/officeDocument/2006/relationships/hyperlink" Target="https://www.medicare.gov/coverage/travel-outside-the-u.s." TargetMode="External"/><Relationship Id="rId28" Type="http://schemas.openxmlformats.org/officeDocument/2006/relationships/hyperlink" Target="https://www.fda.gov/regulatory-information/search-fda-guidance-documents/general-wellness-policy-low-risk-devices" TargetMode="External"/><Relationship Id="rId29" Type="http://schemas.openxmlformats.org/officeDocument/2006/relationships/hyperlink" Target="https://www.alz.org/help-support/caregiving/safety/wandering" TargetMode="External"/><Relationship Id="rId30" Type="http://schemas.openxmlformats.org/officeDocument/2006/relationships/hyperlink" Target="https://hawaiiadrc.org/" TargetMode="External"/><Relationship Id="rId31" Type="http://schemas.openxmlformats.org/officeDocument/2006/relationships/hyperlink" Target="https://tax.hawaii.gov/get/" TargetMode="External"/><Relationship Id="rId32" Type="http://schemas.openxmlformats.org/officeDocument/2006/relationships/hyperlink" Target="https://pmc.ncbi.nlm.nih.gov/articles/PMC8020444/" TargetMode="External"/><Relationship Id="rId33" Type="http://schemas.openxmlformats.org/officeDocument/2006/relationships/hyperlink" Target="https://www.hhs.gov/hipaa/for-professionals/privacy/guidance/business-associates/index.html" TargetMode="External"/><Relationship Id="rId34" Type="http://schemas.openxmlformats.org/officeDocument/2006/relationships/hyperlink" Target="https://www.ftc.gov/business-guidance/resources/collecting-using-or-sharing-consumer-health-information-look-hipaa-ftc-act-health-bre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Dementia Technology Support Business Feasibility Study</dc:title>
  <dc:subject>Hawaii demand, service design, reimbursement and financial feasibility</dc:subject>
  <dc:creator>Prepared for Jerry Perone</dc:creator>
  <cp:keywords>dementia, Hawaii, technology support, wearables, Medicare, QUEST</cp:keywords>
  <dc:description>generated by python-docx</dc:description>
  <cp:lastModifiedBy/>
  <cp:revision>1</cp:revision>
  <dcterms:created xsi:type="dcterms:W3CDTF">2013-12-23T23:15:00Z</dcterms:created>
  <dcterms:modified xsi:type="dcterms:W3CDTF">2013-12-23T23:15:00Z</dcterms:modified>
  <cp:category/>
</cp:coreProperties>
</file>