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F74EE" w14:textId="77777777" w:rsidR="007635CD" w:rsidRDefault="00000000">
      <w:pPr>
        <w:jc w:val="center"/>
      </w:pPr>
      <w:r>
        <w:rPr>
          <w:b/>
          <w:sz w:val="44"/>
        </w:rPr>
        <w:t>Why the CFO-Style HANAI Financial Analysis Matters</w:t>
      </w:r>
    </w:p>
    <w:p w14:paraId="76D5D029" w14:textId="77777777" w:rsidR="007635CD" w:rsidRDefault="00000000">
      <w:pPr>
        <w:jc w:val="center"/>
      </w:pPr>
      <w:r>
        <w:rPr>
          <w:sz w:val="28"/>
        </w:rPr>
        <w:t>Key points for Finance (FIN) and Ways and Means (WAM) testimony</w:t>
      </w:r>
    </w:p>
    <w:p w14:paraId="039F9ED9" w14:textId="77777777" w:rsidR="007635CD" w:rsidRDefault="007635CD"/>
    <w:p w14:paraId="1D9D982B" w14:textId="77777777" w:rsidR="007635CD" w:rsidRDefault="00000000">
      <w:pPr>
        <w:jc w:val="center"/>
      </w:pPr>
      <w:r>
        <w:rPr>
          <w:sz w:val="24"/>
        </w:rPr>
        <w:t>Prepared for written testimony on the HANAI Memory Network bills (HB1853 / SB2589)</w:t>
      </w:r>
    </w:p>
    <w:p w14:paraId="41E358FA" w14:textId="77777777" w:rsidR="007635CD" w:rsidRDefault="00000000">
      <w:pPr>
        <w:jc w:val="center"/>
      </w:pPr>
      <w:r>
        <w:rPr>
          <w:sz w:val="24"/>
        </w:rPr>
        <w:t>February 26, 2026</w:t>
      </w:r>
    </w:p>
    <w:p w14:paraId="49D940DE" w14:textId="77777777" w:rsidR="007635CD" w:rsidRDefault="00000000">
      <w:r>
        <w:br w:type="page"/>
      </w:r>
    </w:p>
    <w:p w14:paraId="2E9A5A85" w14:textId="77777777" w:rsidR="007635CD" w:rsidRDefault="00000000">
      <w:pPr>
        <w:pStyle w:val="Heading1"/>
      </w:pPr>
      <w:r>
        <w:lastRenderedPageBreak/>
        <w:t>Executive summary</w:t>
      </w:r>
    </w:p>
    <w:p w14:paraId="728F59EF" w14:textId="77777777" w:rsidR="007635CD" w:rsidRDefault="00000000">
      <w:r>
        <w:t>FIN and WAM are not deciding whether dementia is heartbreaking - they are deciding whether the State should invest, how much, and whether the investment is fiscally responsible. The CFO-style analysis gives them the exact decision framework they use every day: cost, measurable impact, risk, and accountability.</w:t>
      </w:r>
    </w:p>
    <w:p w14:paraId="007A19D1" w14:textId="77777777" w:rsidR="007635CD" w:rsidRDefault="00000000">
      <w:r>
        <w:rPr>
          <w:b/>
        </w:rPr>
        <w:t xml:space="preserve">CFO headline that lands with budget committees: </w:t>
      </w:r>
    </w:p>
    <w:p w14:paraId="673D214B" w14:textId="77777777" w:rsidR="007635CD" w:rsidRDefault="00000000">
      <w:r>
        <w:t>If HANAI costs about $3 million per year, it only needs to reduce Hawai'i's Medicaid Alzheimer's spending by about 1% to pay for itself (3M / 309M ≈ 0.97%), before counting any household savings or quality-of-life gains.</w:t>
      </w:r>
    </w:p>
    <w:p w14:paraId="2F332732" w14:textId="77777777" w:rsidR="007635CD" w:rsidRDefault="00000000">
      <w:r>
        <w:t>HB1853's findings cite Medicaid Alzheimer's spending rising from about $240 million (2020) to $309 million (2025), and warn costs could approach $1 billion annually by 2050. Against that scale, a $3 million appropriation is small, but it must be defended with disciplined math and an evaluation plan - exactly what this analysis provides.</w:t>
      </w:r>
    </w:p>
    <w:p w14:paraId="58736C26" w14:textId="77777777" w:rsidR="007635CD" w:rsidRDefault="00000000">
      <w:pPr>
        <w:pStyle w:val="Heading1"/>
      </w:pPr>
      <w:r>
        <w:t>What FIN and WAM must answer</w:t>
      </w:r>
    </w:p>
    <w:p w14:paraId="5F08D67A" w14:textId="77777777" w:rsidR="007635CD" w:rsidRDefault="00000000">
      <w:pPr>
        <w:pStyle w:val="ListBullet"/>
      </w:pPr>
      <w:r>
        <w:t>What is the annual appropriation request (and what exactly does it buy)?</w:t>
      </w:r>
    </w:p>
    <w:p w14:paraId="7118FD01" w14:textId="77777777" w:rsidR="007635CD" w:rsidRDefault="00000000">
      <w:pPr>
        <w:pStyle w:val="ListBullet"/>
      </w:pPr>
      <w:r>
        <w:t>What existing State costs are being reduced or avoided (Medicaid, LTSS, other State-funded programs)?</w:t>
      </w:r>
    </w:p>
    <w:p w14:paraId="66AF04C6" w14:textId="77777777" w:rsidR="007635CD" w:rsidRDefault="00000000">
      <w:pPr>
        <w:pStyle w:val="ListBullet"/>
      </w:pPr>
      <w:r>
        <w:t>How quickly would benefits appear (1 year, 3 years, 5 years)?</w:t>
      </w:r>
    </w:p>
    <w:p w14:paraId="6357120B" w14:textId="77777777" w:rsidR="007635CD" w:rsidRDefault="00000000">
      <w:pPr>
        <w:pStyle w:val="ListBullet"/>
      </w:pPr>
      <w:r>
        <w:t>What is the plan to measure results and report back (and what happens if results are not achieved)?</w:t>
      </w:r>
    </w:p>
    <w:p w14:paraId="1E5C2257" w14:textId="77777777" w:rsidR="007635CD" w:rsidRDefault="00000000">
      <w:pPr>
        <w:pStyle w:val="ListBullet"/>
      </w:pPr>
      <w:r>
        <w:t>How do we avoid double-counting savings across agencies or between State and private payers?</w:t>
      </w:r>
    </w:p>
    <w:p w14:paraId="4F9E1E20" w14:textId="77777777" w:rsidR="007635CD" w:rsidRDefault="00000000">
      <w:pPr>
        <w:pStyle w:val="Heading1"/>
      </w:pPr>
      <w:r>
        <w:t>Why this analysis is extremely important to FIN and WAM</w:t>
      </w:r>
    </w:p>
    <w:p w14:paraId="7FF68624" w14:textId="77777777" w:rsidR="007635CD" w:rsidRDefault="00000000">
      <w:pPr>
        <w:pStyle w:val="ListNumber"/>
      </w:pPr>
      <w:r>
        <w:rPr>
          <w:b/>
        </w:rPr>
        <w:t xml:space="preserve">It translates compassion into budget language. </w:t>
      </w:r>
      <w:r>
        <w:t>Committees can support the mission, but they appropriate money based on expected return, risk, and accountability.</w:t>
      </w:r>
    </w:p>
    <w:p w14:paraId="2F850F16" w14:textId="77777777" w:rsidR="007635CD" w:rsidRDefault="00000000">
      <w:pPr>
        <w:pStyle w:val="ListNumber"/>
      </w:pPr>
      <w:r>
        <w:rPr>
          <w:b/>
        </w:rPr>
        <w:t xml:space="preserve">It shows the 'break-even' threshold is tiny. </w:t>
      </w:r>
      <w:r>
        <w:t>When the baseline spend is hundreds of millions per year, a small percentage improvement can finance the entire program.</w:t>
      </w:r>
    </w:p>
    <w:p w14:paraId="1EA08A26" w14:textId="77777777" w:rsidR="007635CD" w:rsidRDefault="00000000">
      <w:pPr>
        <w:pStyle w:val="ListNumber"/>
      </w:pPr>
      <w:r>
        <w:rPr>
          <w:b/>
        </w:rPr>
        <w:t xml:space="preserve">It prevents double-counting by using separate lenses. </w:t>
      </w:r>
      <w:r>
        <w:t>State budget savings (Medicaid/LTSS) must be separated from health system savings and household/economic savings.</w:t>
      </w:r>
    </w:p>
    <w:p w14:paraId="0FE08E67" w14:textId="77777777" w:rsidR="007635CD" w:rsidRDefault="00000000">
      <w:pPr>
        <w:pStyle w:val="ListNumber"/>
      </w:pPr>
      <w:r>
        <w:rPr>
          <w:b/>
        </w:rPr>
        <w:t xml:space="preserve">It makes assumptions explicit and therefore defensible. </w:t>
      </w:r>
      <w:r>
        <w:t>FIN/WAM will ask: 'How many people are served? Who are they? What changes?' The framework forces clarity.</w:t>
      </w:r>
    </w:p>
    <w:p w14:paraId="34C3BA8B" w14:textId="77777777" w:rsidR="007635CD" w:rsidRDefault="00000000">
      <w:pPr>
        <w:pStyle w:val="ListNumber"/>
      </w:pPr>
      <w:r>
        <w:rPr>
          <w:b/>
        </w:rPr>
        <w:t xml:space="preserve">It supports a performance-based appropriation. </w:t>
      </w:r>
      <w:r>
        <w:t>You can pair funding with required metrics, annual reporting, and staged expansion tied to results.</w:t>
      </w:r>
    </w:p>
    <w:p w14:paraId="53D83804" w14:textId="77777777" w:rsidR="007635CD" w:rsidRDefault="00000000">
      <w:pPr>
        <w:pStyle w:val="ListNumber"/>
      </w:pPr>
      <w:r>
        <w:rPr>
          <w:b/>
        </w:rPr>
        <w:t xml:space="preserve">It focuses on the highest-cost drivers. </w:t>
      </w:r>
      <w:r>
        <w:t>Delayed institutional placement and reduced avoidable acute care are the budget levers committees care about.</w:t>
      </w:r>
    </w:p>
    <w:p w14:paraId="28E9E345" w14:textId="77777777" w:rsidR="007635CD" w:rsidRDefault="00000000">
      <w:pPr>
        <w:pStyle w:val="ListNumber"/>
      </w:pPr>
      <w:r>
        <w:rPr>
          <w:b/>
        </w:rPr>
        <w:t xml:space="preserve">It gives legislators a simple statement they can repeat. </w:t>
      </w:r>
      <w:r>
        <w:t>The 1% Medicaid break-even line is easy to remember and hard to argue with.</w:t>
      </w:r>
    </w:p>
    <w:p w14:paraId="2FC0A489" w14:textId="77777777" w:rsidR="007635CD" w:rsidRDefault="00000000">
      <w:pPr>
        <w:pStyle w:val="ListNumber"/>
      </w:pPr>
      <w:r>
        <w:rPr>
          <w:b/>
        </w:rPr>
        <w:t xml:space="preserve">It anticipates fiscal note questions. </w:t>
      </w:r>
      <w:r>
        <w:t>Program cost components are enumerated (staffing, clinic partnerships, tech, outreach, evaluation, reporting).</w:t>
      </w:r>
    </w:p>
    <w:p w14:paraId="0C74E6C7" w14:textId="77777777" w:rsidR="007635CD" w:rsidRDefault="00000000">
      <w:pPr>
        <w:pStyle w:val="ListNumber"/>
      </w:pPr>
      <w:r>
        <w:rPr>
          <w:b/>
        </w:rPr>
        <w:t xml:space="preserve">It connects to oversight. </w:t>
      </w:r>
      <w:r>
        <w:t>The same variables used to justify funding can be used to audit performance (reach, targeting, utilization changes).</w:t>
      </w:r>
    </w:p>
    <w:p w14:paraId="7BC60CF2" w14:textId="77777777" w:rsidR="007635CD" w:rsidRDefault="00000000">
      <w:pPr>
        <w:pStyle w:val="ListNumber"/>
      </w:pPr>
      <w:r>
        <w:rPr>
          <w:b/>
        </w:rPr>
        <w:t xml:space="preserve">It protects credibility. </w:t>
      </w:r>
      <w:r>
        <w:t>Using low/base/high ranges and conservative attribution signals fiscal discipline, not advocacy hype.</w:t>
      </w:r>
    </w:p>
    <w:p w14:paraId="77EBAA01" w14:textId="77777777" w:rsidR="007635CD" w:rsidRDefault="00000000">
      <w:pPr>
        <w:pStyle w:val="Heading1"/>
      </w:pPr>
      <w:r>
        <w:t>How to use this in written testimony (copy-ready language)</w:t>
      </w:r>
    </w:p>
    <w:p w14:paraId="26E5DF93" w14:textId="77777777" w:rsidR="007635CD" w:rsidRDefault="00000000">
      <w:pPr>
        <w:pStyle w:val="ListBullet"/>
      </w:pPr>
      <w:r>
        <w:t>HB1853 is not only a health policy. It is a fiscal stabilization policy. Medicaid Alzheimer's spending in Hawai'i is already about $309 million per year and is projected to grow dramatically.</w:t>
      </w:r>
    </w:p>
    <w:p w14:paraId="5BBEE3F1" w14:textId="77777777" w:rsidR="007635CD" w:rsidRDefault="00000000">
      <w:pPr>
        <w:pStyle w:val="ListBullet"/>
      </w:pPr>
      <w:r>
        <w:t>HANAI is a modest investment - about $3 million per year - designed to coordinate dementia care earlier, prevent avoidable crises, and delay costly long-term care placement.</w:t>
      </w:r>
    </w:p>
    <w:p w14:paraId="453B70B6" w14:textId="77777777" w:rsidR="007635CD" w:rsidRDefault="00000000">
      <w:pPr>
        <w:pStyle w:val="ListBullet"/>
      </w:pPr>
      <w:r>
        <w:t>A CFO-style break-even test shows HANAI only needs to reduce Medicaid Alzheimer's spending by about 1% to pay for itself, even before counting household savings and quality-of-life gains.</w:t>
      </w:r>
    </w:p>
    <w:p w14:paraId="145FDFFE" w14:textId="77777777" w:rsidR="007635CD" w:rsidRDefault="00000000">
      <w:pPr>
        <w:pStyle w:val="ListBullet"/>
      </w:pPr>
      <w:r>
        <w:t>The bill's structure supports accountability: defined program components, targeting of high-risk families, and annual reporting so the Legislature can track outcomes and adjust funding based on results.</w:t>
      </w:r>
    </w:p>
    <w:p w14:paraId="3D20E000" w14:textId="77777777" w:rsidR="007635CD" w:rsidRDefault="00000000">
      <w:pPr>
        <w:pStyle w:val="Heading1"/>
      </w:pPr>
      <w:r>
        <w:t>Metrics FIN/WAM can require for accountability</w:t>
      </w:r>
    </w:p>
    <w:p w14:paraId="313E39D7" w14:textId="77777777" w:rsidR="007635CD" w:rsidRDefault="00000000">
      <w:r>
        <w:t>To make the appropriation audit-ready, FIN/WAM can require the annual report to include a small, consistent dashboard. These measures align directly to the savings equations.</w:t>
      </w:r>
    </w:p>
    <w:p w14:paraId="3B3DBEC7" w14:textId="77777777" w:rsidR="007635CD" w:rsidRDefault="00000000">
      <w:pPr>
        <w:pStyle w:val="ListBullet"/>
      </w:pPr>
      <w:r>
        <w:t>Reach: number of participants served (and percent of the estimated dementia population).</w:t>
      </w:r>
    </w:p>
    <w:p w14:paraId="4ACCB1AF" w14:textId="77777777" w:rsidR="007635CD" w:rsidRDefault="00000000">
      <w:pPr>
        <w:pStyle w:val="ListBullet"/>
      </w:pPr>
      <w:r>
        <w:t>Targeting: share of participants meeting 'high-risk' criteria (recent ED visits, caregiver strain, recent hospitalization).</w:t>
      </w:r>
    </w:p>
    <w:p w14:paraId="29C954CD" w14:textId="77777777" w:rsidR="007635CD" w:rsidRDefault="00000000">
      <w:pPr>
        <w:pStyle w:val="ListBullet"/>
      </w:pPr>
      <w:r>
        <w:t>Utilization: ED visits, hospitalizations, and readmissions per participant (pre vs post), using claims where possible.</w:t>
      </w:r>
    </w:p>
    <w:p w14:paraId="2BC7083A" w14:textId="77777777" w:rsidR="007635CD" w:rsidRDefault="00000000">
      <w:pPr>
        <w:pStyle w:val="ListBullet"/>
      </w:pPr>
      <w:r>
        <w:t>Long-term care: months to nursing facility or memory care placement among at-risk participants (comparison to baseline).</w:t>
      </w:r>
    </w:p>
    <w:p w14:paraId="0D93650D" w14:textId="77777777" w:rsidR="007635CD" w:rsidRDefault="00000000">
      <w:pPr>
        <w:pStyle w:val="ListBullet"/>
      </w:pPr>
      <w:r>
        <w:t>Care navigation performance: time from concern to assessment/diagnosis; time to services (home care, respite, LTSS).</w:t>
      </w:r>
    </w:p>
    <w:p w14:paraId="6A985E3D" w14:textId="77777777" w:rsidR="007635CD" w:rsidRDefault="00000000">
      <w:pPr>
        <w:pStyle w:val="ListBullet"/>
      </w:pPr>
      <w:r>
        <w:t>Cost: program cost per participant and administrative overhead ratio.</w:t>
      </w:r>
    </w:p>
    <w:p w14:paraId="7264450A" w14:textId="77777777" w:rsidR="007635CD" w:rsidRDefault="00000000">
      <w:pPr>
        <w:pStyle w:val="ListBullet"/>
      </w:pPr>
      <w:r>
        <w:t>Equity and access: geographic distribution (O'ahu vs neighbor islands), wait times, language access.</w:t>
      </w:r>
    </w:p>
    <w:p w14:paraId="0BB98CA5" w14:textId="77777777" w:rsidR="007635CD" w:rsidRDefault="00000000">
      <w:pPr>
        <w:pStyle w:val="Heading1"/>
      </w:pPr>
      <w:r>
        <w:t>One-page CFO dashboard (ready to attach to testimony)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7635CD" w14:paraId="27EB1E51" w14:textId="77777777">
        <w:trPr>
          <w:jc w:val="center"/>
        </w:trPr>
        <w:tc>
          <w:tcPr>
            <w:tcW w:w="4320" w:type="dxa"/>
          </w:tcPr>
          <w:p w14:paraId="68553ABB" w14:textId="77777777" w:rsidR="007635CD" w:rsidRDefault="00000000">
            <w:r>
              <w:t>Decision question</w:t>
            </w:r>
          </w:p>
        </w:tc>
        <w:tc>
          <w:tcPr>
            <w:tcW w:w="4320" w:type="dxa"/>
          </w:tcPr>
          <w:p w14:paraId="28BAF8E4" w14:textId="77777777" w:rsidR="007635CD" w:rsidRDefault="00000000">
            <w:r>
              <w:t>HANAI answer (from the CFO framework)</w:t>
            </w:r>
          </w:p>
        </w:tc>
      </w:tr>
      <w:tr w:rsidR="007635CD" w14:paraId="39AA4767" w14:textId="77777777">
        <w:trPr>
          <w:jc w:val="center"/>
        </w:trPr>
        <w:tc>
          <w:tcPr>
            <w:tcW w:w="4320" w:type="dxa"/>
          </w:tcPr>
          <w:p w14:paraId="01F6DAF4" w14:textId="77777777" w:rsidR="007635CD" w:rsidRDefault="00000000">
            <w:r>
              <w:t>What does it cost?</w:t>
            </w:r>
          </w:p>
        </w:tc>
        <w:tc>
          <w:tcPr>
            <w:tcW w:w="4320" w:type="dxa"/>
          </w:tcPr>
          <w:p w14:paraId="763A67BA" w14:textId="77777777" w:rsidR="007635CD" w:rsidRDefault="00000000">
            <w:r>
              <w:t>Approx. $3M/year appropriation target; spending categories: staffing, clinic partnerships, tech/data, outreach/training, evaluation and annual reporting.</w:t>
            </w:r>
          </w:p>
        </w:tc>
      </w:tr>
      <w:tr w:rsidR="007635CD" w14:paraId="25DDDAE3" w14:textId="77777777">
        <w:trPr>
          <w:jc w:val="center"/>
        </w:trPr>
        <w:tc>
          <w:tcPr>
            <w:tcW w:w="4320" w:type="dxa"/>
          </w:tcPr>
          <w:p w14:paraId="54821C59" w14:textId="77777777" w:rsidR="007635CD" w:rsidRDefault="00000000">
            <w:r>
              <w:t>What big cost base does it address?</w:t>
            </w:r>
          </w:p>
        </w:tc>
        <w:tc>
          <w:tcPr>
            <w:tcW w:w="4320" w:type="dxa"/>
          </w:tcPr>
          <w:p w14:paraId="1E866BAF" w14:textId="77777777" w:rsidR="007635CD" w:rsidRDefault="00000000">
            <w:r>
              <w:t>Medicaid Alzheimer's spending ~ $309M/year (2025); memory care often &gt; $15k/month for families.</w:t>
            </w:r>
          </w:p>
        </w:tc>
      </w:tr>
      <w:tr w:rsidR="007635CD" w14:paraId="32A96801" w14:textId="77777777">
        <w:trPr>
          <w:jc w:val="center"/>
        </w:trPr>
        <w:tc>
          <w:tcPr>
            <w:tcW w:w="4320" w:type="dxa"/>
          </w:tcPr>
          <w:p w14:paraId="4B2306CA" w14:textId="77777777" w:rsidR="007635CD" w:rsidRDefault="00000000">
            <w:r>
              <w:t>What are the main savings mechanisms?</w:t>
            </w:r>
          </w:p>
        </w:tc>
        <w:tc>
          <w:tcPr>
            <w:tcW w:w="4320" w:type="dxa"/>
          </w:tcPr>
          <w:p w14:paraId="19C8426F" w14:textId="77777777" w:rsidR="007635CD" w:rsidRDefault="00000000">
            <w:r>
              <w:t>Avoided ED visits/hospitalizations; delayed long-term care placement; reduced system waste from fragmented care.</w:t>
            </w:r>
          </w:p>
        </w:tc>
      </w:tr>
      <w:tr w:rsidR="007635CD" w14:paraId="25142419" w14:textId="77777777">
        <w:trPr>
          <w:jc w:val="center"/>
        </w:trPr>
        <w:tc>
          <w:tcPr>
            <w:tcW w:w="4320" w:type="dxa"/>
          </w:tcPr>
          <w:p w14:paraId="2807B360" w14:textId="77777777" w:rsidR="007635CD" w:rsidRDefault="00000000">
            <w:r>
              <w:t>What is the break-even test?</w:t>
            </w:r>
          </w:p>
        </w:tc>
        <w:tc>
          <w:tcPr>
            <w:tcW w:w="4320" w:type="dxa"/>
          </w:tcPr>
          <w:p w14:paraId="4A792884" w14:textId="77777777" w:rsidR="007635CD" w:rsidRDefault="00000000">
            <w:r>
              <w:t>3M / 309M ≈ 0.97% Medicaid reduction needed for break-even (Medicaid lens only).</w:t>
            </w:r>
          </w:p>
        </w:tc>
      </w:tr>
      <w:tr w:rsidR="007635CD" w14:paraId="4BE1D528" w14:textId="77777777">
        <w:trPr>
          <w:jc w:val="center"/>
        </w:trPr>
        <w:tc>
          <w:tcPr>
            <w:tcW w:w="4320" w:type="dxa"/>
          </w:tcPr>
          <w:p w14:paraId="10B9AC40" w14:textId="77777777" w:rsidR="007635CD" w:rsidRDefault="00000000">
            <w:r>
              <w:t>How will performance be measured?</w:t>
            </w:r>
          </w:p>
        </w:tc>
        <w:tc>
          <w:tcPr>
            <w:tcW w:w="4320" w:type="dxa"/>
          </w:tcPr>
          <w:p w14:paraId="3E11CC92" w14:textId="77777777" w:rsidR="007635CD" w:rsidRDefault="00000000">
            <w:r>
              <w:t>Annual report dashboard: reach, targeting, utilization, long-term care placement, cost per participant, access/equity.</w:t>
            </w:r>
          </w:p>
        </w:tc>
      </w:tr>
      <w:tr w:rsidR="007635CD" w14:paraId="1D0E0155" w14:textId="77777777">
        <w:trPr>
          <w:jc w:val="center"/>
        </w:trPr>
        <w:tc>
          <w:tcPr>
            <w:tcW w:w="4320" w:type="dxa"/>
          </w:tcPr>
          <w:p w14:paraId="31BB2A63" w14:textId="77777777" w:rsidR="007635CD" w:rsidRDefault="00000000">
            <w:r>
              <w:t>How do we avoid double-counting?</w:t>
            </w:r>
          </w:p>
        </w:tc>
        <w:tc>
          <w:tcPr>
            <w:tcW w:w="4320" w:type="dxa"/>
          </w:tcPr>
          <w:p w14:paraId="7455DD0C" w14:textId="77777777" w:rsidR="007635CD" w:rsidRDefault="00000000">
            <w:r>
              <w:t>Run separate lenses: State budget (Medicaid/LTSS), health system (acute utilization), household economy (caregiver burden).</w:t>
            </w:r>
          </w:p>
        </w:tc>
      </w:tr>
    </w:tbl>
    <w:p w14:paraId="3D55E9FA" w14:textId="77777777" w:rsidR="007635CD" w:rsidRDefault="00000000">
      <w:pPr>
        <w:pStyle w:val="Heading1"/>
      </w:pPr>
      <w:r>
        <w:t>Bottom line for FIN and WAM</w:t>
      </w:r>
    </w:p>
    <w:p w14:paraId="23FDFC54" w14:textId="77777777" w:rsidR="007635CD" w:rsidRDefault="00000000">
      <w:r>
        <w:t>HANAI is financially material because dementia is already a major and rapidly growing State expenditure. This analysis equips FIN and WAM with a disciplined way to fund HANAI with confidence: small upfront dollars, clear mechanisms for cost avoidance, conservative math, and enforceable reporting for oversight.</w:t>
      </w:r>
    </w:p>
    <w:sectPr w:rsidR="007635C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6361272">
    <w:abstractNumId w:val="8"/>
  </w:num>
  <w:num w:numId="2" w16cid:durableId="1585531004">
    <w:abstractNumId w:val="6"/>
  </w:num>
  <w:num w:numId="3" w16cid:durableId="490028678">
    <w:abstractNumId w:val="5"/>
  </w:num>
  <w:num w:numId="4" w16cid:durableId="1881160577">
    <w:abstractNumId w:val="4"/>
  </w:num>
  <w:num w:numId="5" w16cid:durableId="226690754">
    <w:abstractNumId w:val="7"/>
  </w:num>
  <w:num w:numId="6" w16cid:durableId="1664893561">
    <w:abstractNumId w:val="3"/>
  </w:num>
  <w:num w:numId="7" w16cid:durableId="1620524621">
    <w:abstractNumId w:val="2"/>
  </w:num>
  <w:num w:numId="8" w16cid:durableId="818810250">
    <w:abstractNumId w:val="1"/>
  </w:num>
  <w:num w:numId="9" w16cid:durableId="1402287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635CD"/>
    <w:rsid w:val="008B622C"/>
    <w:rsid w:val="00901F18"/>
    <w:rsid w:val="00AA1D8D"/>
    <w:rsid w:val="00B47730"/>
    <w:rsid w:val="00CB0664"/>
    <w:rsid w:val="00D75BE1"/>
    <w:rsid w:val="00E917EC"/>
    <w:rsid w:val="00ED3FB1"/>
    <w:rsid w:val="00FA25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0BBC83"/>
  <w14:defaultImageDpi w14:val="300"/>
  <w15:docId w15:val="{BE1F4EBC-4CBB-4246-A816-2F3F12DCF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912</Words>
  <Characters>5416</Characters>
  <Application>Microsoft Office Word</Application>
  <DocSecurity>0</DocSecurity>
  <Lines>110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Executive summary</vt:lpstr>
      <vt:lpstr>What FIN and WAM must answer</vt:lpstr>
      <vt:lpstr>Why this analysis is extremely important to FIN and WAM</vt:lpstr>
      <vt:lpstr>How to use this in written testimony (copy-ready language)</vt:lpstr>
      <vt:lpstr>Metrics FIN/WAM can require for accountability</vt:lpstr>
      <vt:lpstr>One-page CFO dashboard (ready to attach to testimony)</vt:lpstr>
      <vt:lpstr>Bottom line for FIN and WAM</vt:lpstr>
    </vt:vector>
  </TitlesOfParts>
  <Manager/>
  <Company/>
  <LinksUpToDate>false</LinksUpToDate>
  <CharactersWithSpaces>6288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Jerry Perone</cp:lastModifiedBy>
  <cp:revision>4</cp:revision>
  <dcterms:created xsi:type="dcterms:W3CDTF">2013-12-23T23:15:00Z</dcterms:created>
  <dcterms:modified xsi:type="dcterms:W3CDTF">2026-03-28T20:50:00Z</dcterms:modified>
  <cp:category/>
</cp:coreProperties>
</file>