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STATE OF HAWAIʻI LEGISLATURE</w:t>
      </w:r>
    </w:p>
    <w:p>
      <w:pPr>
        <w:jc w:val="center"/>
      </w:pPr>
      <w:r>
        <w:rPr>
          <w:b/>
        </w:rPr>
        <w:t>HB1853 – HANAI Memory Network Program</w:t>
        <w:br/>
        <w:t>Conference Outcome &amp; Implementation Strategy</w:t>
      </w:r>
    </w:p>
    <w:p>
      <w:pPr>
        <w:jc w:val="center"/>
      </w:pPr>
      <w:r>
        <w:rPr>
          <w:i/>
        </w:rPr>
        <w:t>April 28, 2026</w:t>
        <w:br/>
        <w:t>Prepared by The Sicilian Alzheimer’s Ambassador</w:t>
      </w:r>
    </w:p>
    <w:p>
      <w:r>
        <w:br w:type="page"/>
      </w:r>
    </w:p>
    <w:p>
      <w:pPr>
        <w:pStyle w:val="Heading1"/>
      </w:pPr>
      <w:r>
        <w:t>Executive Summary</w:t>
      </w:r>
    </w:p>
    <w:p>
      <w:r>
        <w:t>HB1853 marks a major turning point in Hawaiʻi’s dementia care strategy. With approximately $1.5M per year in funding, the State now has the opportunity to build a coordinated care model. However, the funding level requires a focused, data-driven proof of concept beginning on Oʻahu to ensure measurable outcomes and justify expansion.</w:t>
      </w:r>
    </w:p>
    <w:p>
      <w:pPr>
        <w:pStyle w:val="Heading2"/>
      </w:pPr>
      <w:r>
        <w:t>Cost Escalation Model</w:t>
      </w:r>
    </w:p>
    <w:p>
      <w:r>
        <w:t>Dementia-related events increase dramatically in cost when unmanaged.</w:t>
      </w:r>
    </w:p>
    <w:p>
      <w:r>
        <w:drawing>
          <wp:inline xmlns:a="http://schemas.openxmlformats.org/drawingml/2006/main" xmlns:pic="http://schemas.openxmlformats.org/drawingml/2006/picture">
            <wp:extent cx="4572000" cy="3429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st_char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Proposed Funding Allocation</w:t>
      </w:r>
    </w:p>
    <w:p>
      <w:r>
        <w:t>Recommended distribution of HANAI program funding.</w:t>
      </w:r>
    </w:p>
    <w:p>
      <w:r>
        <w:drawing>
          <wp:inline xmlns:a="http://schemas.openxmlformats.org/drawingml/2006/main" xmlns:pic="http://schemas.openxmlformats.org/drawingml/2006/picture">
            <wp:extent cx="4572000" cy="3429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llocation_char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Implementation Timeline</w:t>
      </w:r>
    </w:p>
    <w:p>
      <w:r>
        <w:t>Key milestones required to achieve proof of concept.</w:t>
      </w:r>
    </w:p>
    <w:p>
      <w:r>
        <w:drawing>
          <wp:inline xmlns:a="http://schemas.openxmlformats.org/drawingml/2006/main" xmlns:pic="http://schemas.openxmlformats.org/drawingml/2006/picture">
            <wp:extent cx="4572000" cy="3429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meline_char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Legislative Arguments</w:t>
      </w:r>
    </w:p>
    <w:p>
      <w:r>
        <w:t>• Hawaiʻi is already spending over $300M annually on dementia care.</w:t>
      </w:r>
    </w:p>
    <w:p>
      <w:r>
        <w:t>• A 1% reduction in costs would fully fund HANAI.</w:t>
      </w:r>
    </w:p>
    <w:p>
      <w:r>
        <w:t>• The current system is reactive and crisis-driven.</w:t>
      </w:r>
    </w:p>
    <w:p>
      <w:r>
        <w:t>• HANAI enables early intervention and coordination.</w:t>
      </w:r>
    </w:p>
    <w:p>
      <w:r>
        <w:t>• Oʻahu offers the fastest path to measurable results.</w:t>
      </w:r>
    </w:p>
    <w:p>
      <w:r>
        <w:t>• Proof of concept enables expansion in 2027.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