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Satyabrata Kar and nanoparticle research for Alzheimer disease</w:t>
      </w:r>
    </w:p>
    <w:p>
      <w:pPr>
        <w:pStyle w:val="Subtitle"/>
      </w:pPr>
      <w:r>
        <w:t>Composition  |  Funding  |  Research history  |  Prospects by disease stage</w:t>
      </w:r>
    </w:p>
    <w:p>
      <w:r>
        <w:t>Prepared for Jerry Perone</w:t>
        <w:br/>
        <w:t>Evidence reviewed through September 22, 2026</w:t>
      </w:r>
    </w:p>
    <w:p>
      <w:pPr>
        <w:pStyle w:val="Heading1"/>
      </w:pPr>
      <w:r>
        <w:t>The central finding</w:t>
      </w:r>
    </w:p>
    <w:p>
      <w:r>
        <w:t>Dr. Satyabrata Kar’s research offers a credible reason for scientific optimism, but it remains an experimental approach. His team is investigating whether biodegradable polymer nanoparticles can themselves counter Alzheimer-related injury, without carrying an additional medicine. The University of Alberta publicized encouraging mouse results on September 10, 2026. Its account also identifies brain delivery and duration of action as work still in progress. [1]</w:t>
      </w:r>
    </w:p>
    <w:p>
      <w:r>
        <w:t>For families, the distinction matters: a treatment that improves a laboratory measure has not necessarily restored a person’s memory, independence, or ability to recognize someone they love. The published evidence does not establish a benefit in patients at any stage. The most defensible assessment is promising preclinical science with substantial development work ahead.</w:t>
      </w:r>
    </w:p>
    <w:p>
      <w:pPr>
        <w:pStyle w:val="Heading1"/>
      </w:pPr>
      <w:r>
        <w:t>What the latest study actually tested</w:t>
      </w:r>
    </w:p>
    <w:p>
      <w:r>
        <w:t>The May 20, 2026 paper studied eight-month-old male 5xFAD mice, an engineered amyloid model. Groups contained 10–12 animals; some tissue analyses used smaller subsets. Pumps infused PLGA into a brain ventricle for 28 days. Treated mice improved on memory tasks and showed lower amyloid burden, oxidative injury, and selected degenerative markers. Synaptophysin improved; the postsynaptic marker PSD95 did not. These findings suggest several biological actions rather than complete restoration. [2]</w:t>
      </w:r>
    </w:p>
    <w:p>
      <w:r>
        <w:t>The practical inference is crucial: direct brain infusion bypasses the blood–brain barrier. Success by that route cannot establish that a future injection or tablet would deliver enough material to the relevant brain cells. Nor does an older mouse with substantial amyloid pathology correspond directly to a person with moderate or severe dementia.</w:t>
      </w:r>
    </w:p>
    <w:p>
      <w:pPr>
        <w:pStyle w:val="Heading1"/>
      </w:pPr>
      <w:r>
        <w:t>An additional signal from another laboratory</w:t>
      </w:r>
    </w:p>
    <w:p>
      <w:r>
        <w:t>An April 2026 University of Cincinnati preprint reported benefits from a different, immune-targeting PLGA formulation given by abdominal injection to 6.5-month-old 5xFAD mice. Some behavioral and tissue changes persisted after treatment. Memory improvement was more modest than some other behavioral effects. This broadens interest in the approach, but it is not a replication of Kar’s exact preparation or delivery method; the retrieved version had not undergone journal peer review. [13]</w:t>
      </w:r>
    </w:p>
    <w:p>
      <w:pPr>
        <w:pStyle w:val="Heading1"/>
        <w:pageBreakBefore/>
      </w:pPr>
      <w:r>
        <w:t>What the nanoparticles are made of</w:t>
      </w:r>
    </w:p>
    <w:p>
      <w:r>
        <w:t>PLGA means poly(D,L-lactic-co-glycolic acid), also called poly(D,L-lactide-co-glycolide). It is a synthetic polyester assembled from lactic-acid and glycolic-acid building blocks. “Native” or “unconjugated” means the particles are being studied without an attached or enclosed therapeutic drug. [3,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04"/>
        <w:gridCol w:w="7776"/>
      </w:tblGrid>
      <w:tr>
        <w:trPr>
          <w:cantSplit/>
          <w:tblHeader/>
        </w:trPr>
        <w:tc>
          <w:tcPr>
            <w:tcW w:type="dxa" w:w="2304"/>
            <w:vAlign w:val="center"/>
            <w:tcMar>
              <w:top w:w="90" w:type="dxa"/>
              <w:left w:w="90" w:type="dxa"/>
              <w:bottom w:w="90" w:type="dxa"/>
              <w:right w:w="90" w:type="dxa"/>
            </w:tcMar>
            <w:shd w:fill="173E58"/>
          </w:tcPr>
          <w:p>
            <w:pPr>
              <w:spacing w:after="40" w:before="40" w:line="247" w:lineRule="auto"/>
            </w:pPr>
            <w:r>
              <w:rPr>
                <w:b/>
                <w:color w:val="FFFFFF"/>
                <w:sz w:val="20"/>
              </w:rPr>
              <w:t>Feature</w:t>
            </w:r>
          </w:p>
        </w:tc>
        <w:tc>
          <w:tcPr>
            <w:tcW w:type="dxa" w:w="7776"/>
            <w:vAlign w:val="center"/>
            <w:tcMar>
              <w:top w:w="90" w:type="dxa"/>
              <w:left w:w="90" w:type="dxa"/>
              <w:bottom w:w="90" w:type="dxa"/>
              <w:right w:w="90" w:type="dxa"/>
            </w:tcMar>
            <w:shd w:fill="173E58"/>
          </w:tcPr>
          <w:p>
            <w:pPr>
              <w:spacing w:after="40" w:before="40" w:line="247" w:lineRule="auto"/>
            </w:pPr>
            <w:r>
              <w:rPr>
                <w:b/>
                <w:color w:val="FFFFFF"/>
                <w:sz w:val="20"/>
              </w:rPr>
              <w:t>Description and significance</w:t>
            </w:r>
          </w:p>
        </w:tc>
      </w:tr>
      <w:tr>
        <w:trPr>
          <w:cantSplit/>
        </w:trPr>
        <w:tc>
          <w:tcPr>
            <w:tcW w:type="dxa" w:w="2304"/>
            <w:vAlign w:val="center"/>
            <w:tcMar>
              <w:top w:w="90" w:type="dxa"/>
              <w:left w:w="90" w:type="dxa"/>
              <w:bottom w:w="90" w:type="dxa"/>
              <w:right w:w="90" w:type="dxa"/>
            </w:tcMar>
            <w:shd w:fill="FFFFFF"/>
          </w:tcPr>
          <w:p>
            <w:pPr>
              <w:spacing w:after="40" w:before="40" w:line="247" w:lineRule="auto"/>
            </w:pPr>
            <w:r>
              <w:rPr>
                <w:sz w:val="20"/>
              </w:rPr>
              <w:t>Core material</w:t>
            </w:r>
          </w:p>
        </w:tc>
        <w:tc>
          <w:tcPr>
            <w:tcW w:type="dxa" w:w="7776"/>
            <w:vAlign w:val="center"/>
            <w:tcMar>
              <w:top w:w="90" w:type="dxa"/>
              <w:left w:w="90" w:type="dxa"/>
              <w:bottom w:w="90" w:type="dxa"/>
              <w:right w:w="90" w:type="dxa"/>
            </w:tcMar>
            <w:shd w:fill="FFFFFF"/>
          </w:tcPr>
          <w:p>
            <w:pPr>
              <w:spacing w:after="40" w:before="40" w:line="247" w:lineRule="auto"/>
            </w:pPr>
            <w:r>
              <w:rPr>
                <w:sz w:val="20"/>
              </w:rPr>
              <w:t>Biodegradable PLGA polymer. These are polymer particles, not metal particles, stem cells, or tiny mechanical devices.</w:t>
            </w:r>
          </w:p>
        </w:tc>
      </w:tr>
      <w:tr>
        <w:trPr>
          <w:cantSplit/>
        </w:trPr>
        <w:tc>
          <w:tcPr>
            <w:tcW w:type="dxa" w:w="2304"/>
            <w:vAlign w:val="center"/>
            <w:tcMar>
              <w:top w:w="90" w:type="dxa"/>
              <w:left w:w="90" w:type="dxa"/>
              <w:bottom w:w="90" w:type="dxa"/>
              <w:right w:w="90" w:type="dxa"/>
            </w:tcMar>
            <w:shd w:fill="EEF3F6"/>
          </w:tcPr>
          <w:p>
            <w:pPr>
              <w:spacing w:after="40" w:before="40" w:line="247" w:lineRule="auto"/>
            </w:pPr>
            <w:r>
              <w:rPr>
                <w:sz w:val="20"/>
              </w:rPr>
              <w:t>Building block ratio</w:t>
            </w:r>
          </w:p>
        </w:tc>
        <w:tc>
          <w:tcPr>
            <w:tcW w:type="dxa" w:w="7776"/>
            <w:vAlign w:val="center"/>
            <w:tcMar>
              <w:top w:w="90" w:type="dxa"/>
              <w:left w:w="90" w:type="dxa"/>
              <w:bottom w:w="90" w:type="dxa"/>
              <w:right w:w="90" w:type="dxa"/>
            </w:tcMar>
            <w:shd w:fill="EEF3F6"/>
          </w:tcPr>
          <w:p>
            <w:pPr>
              <w:spacing w:after="40" w:before="40" w:line="247" w:lineRule="auto"/>
            </w:pPr>
            <w:r>
              <w:rPr>
                <w:sz w:val="20"/>
              </w:rPr>
              <w:t>The principal preparation uses a 50:50 lactide-to-glycolide ratio. That ratio describes the polymer composition, not a mixture of two medicines.</w:t>
            </w:r>
          </w:p>
        </w:tc>
      </w:tr>
      <w:tr>
        <w:trPr>
          <w:cantSplit/>
        </w:trPr>
        <w:tc>
          <w:tcPr>
            <w:tcW w:type="dxa" w:w="2304"/>
            <w:vAlign w:val="center"/>
            <w:tcMar>
              <w:top w:w="90" w:type="dxa"/>
              <w:left w:w="90" w:type="dxa"/>
              <w:bottom w:w="90" w:type="dxa"/>
              <w:right w:w="90" w:type="dxa"/>
            </w:tcMar>
            <w:shd w:fill="FFFFFF"/>
          </w:tcPr>
          <w:p>
            <w:pPr>
              <w:spacing w:after="40" w:before="40" w:line="247" w:lineRule="auto"/>
            </w:pPr>
            <w:r>
              <w:rPr>
                <w:sz w:val="20"/>
              </w:rPr>
              <w:t>Polymer molecular weight</w:t>
            </w:r>
          </w:p>
        </w:tc>
        <w:tc>
          <w:tcPr>
            <w:tcW w:type="dxa" w:w="7776"/>
            <w:vAlign w:val="center"/>
            <w:tcMar>
              <w:top w:w="90" w:type="dxa"/>
              <w:left w:w="90" w:type="dxa"/>
              <w:bottom w:w="90" w:type="dxa"/>
              <w:right w:w="90" w:type="dxa"/>
            </w:tcMar>
            <w:shd w:fill="FFFFFF"/>
          </w:tcPr>
          <w:p>
            <w:pPr>
              <w:spacing w:after="40" w:before="40" w:line="247" w:lineRule="auto"/>
            </w:pPr>
            <w:r>
              <w:rPr>
                <w:sz w:val="20"/>
              </w:rPr>
              <w:t>About 30,000 daltons in the commercial Degradex preparation used in the earlier work and the 2026 study. This describes polymer chains, not the mass of an entire particle.</w:t>
            </w:r>
          </w:p>
        </w:tc>
      </w:tr>
      <w:tr>
        <w:trPr>
          <w:cantSplit/>
        </w:trPr>
        <w:tc>
          <w:tcPr>
            <w:tcW w:type="dxa" w:w="2304"/>
            <w:vAlign w:val="center"/>
            <w:tcMar>
              <w:top w:w="90" w:type="dxa"/>
              <w:left w:w="90" w:type="dxa"/>
              <w:bottom w:w="90" w:type="dxa"/>
              <w:right w:w="90" w:type="dxa"/>
            </w:tcMar>
            <w:shd w:fill="EEF3F6"/>
          </w:tcPr>
          <w:p>
            <w:pPr>
              <w:spacing w:after="40" w:before="40" w:line="247" w:lineRule="auto"/>
            </w:pPr>
            <w:r>
              <w:rPr>
                <w:sz w:val="20"/>
              </w:rPr>
              <w:t>Particle dimensions</w:t>
            </w:r>
          </w:p>
        </w:tc>
        <w:tc>
          <w:tcPr>
            <w:tcW w:type="dxa" w:w="7776"/>
            <w:vAlign w:val="center"/>
            <w:tcMar>
              <w:top w:w="90" w:type="dxa"/>
              <w:left w:w="90" w:type="dxa"/>
              <w:bottom w:w="90" w:type="dxa"/>
              <w:right w:w="90" w:type="dxa"/>
            </w:tcMar>
            <w:shd w:fill="EEF3F6"/>
          </w:tcPr>
          <w:p>
            <w:pPr>
              <w:spacing w:after="40" w:before="40" w:line="247" w:lineRule="auto"/>
            </w:pPr>
            <w:r>
              <w:rPr>
                <w:sz w:val="20"/>
              </w:rPr>
              <w:t>Earlier characterization found roughly spherical particles around 100 nanometers across, approximately one ten-thousandth of a millimeter. Size depends on formulation and measurement conditions.</w:t>
            </w:r>
          </w:p>
        </w:tc>
      </w:tr>
      <w:tr>
        <w:trPr>
          <w:cantSplit/>
        </w:trPr>
        <w:tc>
          <w:tcPr>
            <w:tcW w:type="dxa" w:w="2304"/>
            <w:vAlign w:val="center"/>
            <w:tcMar>
              <w:top w:w="90" w:type="dxa"/>
              <w:left w:w="90" w:type="dxa"/>
              <w:bottom w:w="90" w:type="dxa"/>
              <w:right w:w="90" w:type="dxa"/>
            </w:tcMar>
            <w:shd w:fill="FFFFFF"/>
          </w:tcPr>
          <w:p>
            <w:pPr>
              <w:spacing w:after="40" w:before="40" w:line="247" w:lineRule="auto"/>
            </w:pPr>
            <w:r>
              <w:rPr>
                <w:sz w:val="20"/>
              </w:rPr>
              <w:t>Added medicine</w:t>
            </w:r>
          </w:p>
        </w:tc>
        <w:tc>
          <w:tcPr>
            <w:tcW w:type="dxa" w:w="7776"/>
            <w:vAlign w:val="center"/>
            <w:tcMar>
              <w:top w:w="90" w:type="dxa"/>
              <w:left w:w="90" w:type="dxa"/>
              <w:bottom w:w="90" w:type="dxa"/>
              <w:right w:w="90" w:type="dxa"/>
            </w:tcMar>
            <w:shd w:fill="FFFFFF"/>
          </w:tcPr>
          <w:p>
            <w:pPr>
              <w:spacing w:after="40" w:before="40" w:line="247" w:lineRule="auto"/>
            </w:pPr>
            <w:r>
              <w:rPr>
                <w:sz w:val="20"/>
              </w:rPr>
              <w:t>None in the native therapeutic preparation. Fluorescent labels used in diagnostic experiments serve a different purpose.</w:t>
            </w:r>
          </w:p>
        </w:tc>
      </w:tr>
      <w:tr>
        <w:trPr>
          <w:cantSplit/>
        </w:trPr>
        <w:tc>
          <w:tcPr>
            <w:tcW w:type="dxa" w:w="2304"/>
            <w:vAlign w:val="center"/>
            <w:tcMar>
              <w:top w:w="90" w:type="dxa"/>
              <w:left w:w="90" w:type="dxa"/>
              <w:bottom w:w="90" w:type="dxa"/>
              <w:right w:w="90" w:type="dxa"/>
            </w:tcMar>
            <w:shd w:fill="EEF3F6"/>
          </w:tcPr>
          <w:p>
            <w:pPr>
              <w:spacing w:after="40" w:before="40" w:line="247" w:lineRule="auto"/>
            </w:pPr>
            <w:r>
              <w:rPr>
                <w:sz w:val="20"/>
              </w:rPr>
              <w:t>Breakdown</w:t>
            </w:r>
          </w:p>
        </w:tc>
        <w:tc>
          <w:tcPr>
            <w:tcW w:type="dxa" w:w="7776"/>
            <w:vAlign w:val="center"/>
            <w:tcMar>
              <w:top w:w="90" w:type="dxa"/>
              <w:left w:w="90" w:type="dxa"/>
              <w:bottom w:w="90" w:type="dxa"/>
              <w:right w:w="90" w:type="dxa"/>
            </w:tcMar>
            <w:shd w:fill="EEF3F6"/>
          </w:tcPr>
          <w:p>
            <w:pPr>
              <w:spacing w:after="40" w:before="40" w:line="247" w:lineRule="auto"/>
            </w:pPr>
            <w:r>
              <w:rPr>
                <w:sz w:val="20"/>
              </w:rPr>
              <w:t>PLGA degrades to lactic-acid and glycolic-acid products that the body can process. Biodegradability alone does not prove safety for repeated treatment of a human brain.</w:t>
            </w:r>
          </w:p>
        </w:tc>
      </w:tr>
    </w:tbl>
    <w:p>
      <w:pPr>
        <w:spacing w:before="0" w:after="60" w:line="20" w:lineRule="exact"/>
      </w:pPr>
      <w:r>
        <w:rPr>
          <w:sz w:val="2"/>
        </w:rPr>
      </w:r>
    </w:p>
    <w:p>
      <w:r>
        <w:t>Composition sources: [2, 3, 4, 5, 13]. The 2026 methods identify Degradex LG100 from Phosphorex. [2]</w:t>
      </w:r>
    </w:p>
    <w:p>
      <w:pPr>
        <w:pStyle w:val="Heading2"/>
      </w:pPr>
      <w:r>
        <w:t>Why the exact formulation matters</w:t>
      </w:r>
    </w:p>
    <w:p>
      <w:r>
        <w:t>In earlier experiments, the 50:50 formulation suppressed amyloid aggregation, while a 75:25 formulation did not reproduce that effect under the tested conditions. The tau study also found a composition-dependent difference. It would therefore be misleading to assume that all products called PLGA have the same therapeutic activity. [4, 7]</w:t>
      </w:r>
    </w:p>
    <w:p>
      <w:pPr>
        <w:pStyle w:val="Heading2"/>
      </w:pPr>
      <w:r>
        <w:t>The related PEG PLGA formulation</w:t>
      </w:r>
    </w:p>
    <w:p>
      <w:r>
        <w:t>A November 2025 study added polyethylene glycol, or PEG, to create PEG–PLGA-1. PEGylation was intended to address rapid removal of native particles by the body’s clearance system. The preparation showed improved stability, inhibited amyloid clumping, helped disassemble existing aggregates, and protected cultured neurons. These were laboratory findings; they did not demonstrate a longer therapeutic effect in people. This is a related formulation, distinct from the native PLGA used in the May 2026 mouse study. [9]</w:t>
      </w:r>
    </w:p>
    <w:p>
      <w:pPr>
        <w:pStyle w:val="Heading2"/>
      </w:pPr>
      <w:r>
        <w:t>How the particles might help</w:t>
      </w:r>
    </w:p>
    <w:p>
      <w:r>
        <w:t>The developing explanation combines interference with amyloid assembly, changes in amyloid production, and support for the cell’s waste-processing compartments, called lysosomes. Earlier neuronal work linked protection to improved lysosomal integrity; another study found changes in amyloid precursor protein metabolism in mouse neurons and human stem-cell-derived neurons. Laboratory tau results suggest a possible additional target. Each mechanism needs further testing in the living human brain. [5, 6, 7]</w:t>
      </w:r>
    </w:p>
    <w:p>
      <w:pPr>
        <w:pStyle w:val="Heading1"/>
        <w:pageBreakBefore/>
      </w:pPr>
      <w:r>
        <w:t>How the research developed</w:t>
      </w:r>
    </w:p>
    <w:p>
      <w:r>
        <w:t>The work connects protein chemistry, cell protection, animal behavior, and particle design. The National Research Council of Canada contributed nanotechnology expertise, helping relate the material’s physical properties to its biological effects. [10]</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9043"/>
      </w:tblGrid>
      <w:tr>
        <w:trPr>
          <w:cantSplit/>
          <w:tblHeader/>
        </w:trPr>
        <w:tc>
          <w:tcPr>
            <w:tcW w:type="dxa" w:w="1037"/>
            <w:vAlign w:val="center"/>
            <w:tcMar>
              <w:top w:w="90" w:type="dxa"/>
              <w:left w:w="90" w:type="dxa"/>
              <w:bottom w:w="90" w:type="dxa"/>
              <w:right w:w="90" w:type="dxa"/>
            </w:tcMar>
            <w:shd w:fill="173E58"/>
          </w:tcPr>
          <w:p>
            <w:pPr>
              <w:spacing w:after="40" w:before="40" w:line="247" w:lineRule="auto"/>
            </w:pPr>
            <w:r>
              <w:rPr>
                <w:b/>
                <w:color w:val="FFFFFF"/>
                <w:sz w:val="20"/>
              </w:rPr>
              <w:t>Period</w:t>
            </w:r>
          </w:p>
        </w:tc>
        <w:tc>
          <w:tcPr>
            <w:tcW w:type="dxa" w:w="9043"/>
            <w:vAlign w:val="center"/>
            <w:tcMar>
              <w:top w:w="90" w:type="dxa"/>
              <w:left w:w="90" w:type="dxa"/>
              <w:bottom w:w="90" w:type="dxa"/>
              <w:right w:w="90" w:type="dxa"/>
            </w:tcMar>
            <w:shd w:fill="173E58"/>
          </w:tcPr>
          <w:p>
            <w:pPr>
              <w:spacing w:after="40" w:before="40" w:line="247" w:lineRule="auto"/>
            </w:pPr>
            <w:r>
              <w:rPr>
                <w:b/>
                <w:color w:val="FFFFFF"/>
                <w:sz w:val="20"/>
              </w:rPr>
              <w:t>Contribution to the research</w:t>
            </w:r>
          </w:p>
        </w:tc>
      </w:tr>
      <w:tr>
        <w:trPr>
          <w:cantSplit/>
        </w:trPr>
        <w:tc>
          <w:tcPr>
            <w:tcW w:type="dxa" w:w="1037"/>
            <w:vAlign w:val="center"/>
            <w:tcMar>
              <w:top w:w="90" w:type="dxa"/>
              <w:left w:w="90" w:type="dxa"/>
              <w:bottom w:w="90" w:type="dxa"/>
              <w:right w:w="90" w:type="dxa"/>
            </w:tcMar>
            <w:shd w:fill="FFFFFF"/>
          </w:tcPr>
          <w:p>
            <w:pPr>
              <w:spacing w:after="40" w:before="40" w:line="247" w:lineRule="auto"/>
            </w:pPr>
            <w:r>
              <w:rPr>
                <w:sz w:val="20"/>
              </w:rPr>
              <w:t>2020</w:t>
            </w:r>
          </w:p>
        </w:tc>
        <w:tc>
          <w:tcPr>
            <w:tcW w:type="dxa" w:w="9043"/>
            <w:vAlign w:val="center"/>
            <w:tcMar>
              <w:top w:w="90" w:type="dxa"/>
              <w:left w:w="90" w:type="dxa"/>
              <w:bottom w:w="90" w:type="dxa"/>
              <w:right w:w="90" w:type="dxa"/>
            </w:tcMar>
            <w:shd w:fill="FFFFFF"/>
          </w:tcPr>
          <w:p>
            <w:pPr>
              <w:spacing w:after="40" w:before="40" w:line="247" w:lineRule="auto"/>
            </w:pPr>
            <w:r>
              <w:rPr>
                <w:sz w:val="20"/>
              </w:rPr>
              <w:t>Kar’s group linked amyloid toxicity to lysosomal damage and escape of the enzyme cathepsin D. Native PLGA protected cultured neurons. Examination of donated human brain tissue was part of this work; it was not treatment of patients. [5]</w:t>
            </w:r>
          </w:p>
        </w:tc>
      </w:tr>
      <w:tr>
        <w:trPr>
          <w:cantSplit/>
        </w:trPr>
        <w:tc>
          <w:tcPr>
            <w:tcW w:type="dxa" w:w="1037"/>
            <w:vAlign w:val="center"/>
            <w:tcMar>
              <w:top w:w="90" w:type="dxa"/>
              <w:left w:w="90" w:type="dxa"/>
              <w:bottom w:w="90" w:type="dxa"/>
              <w:right w:w="90" w:type="dxa"/>
            </w:tcMar>
            <w:shd w:fill="EEF3F6"/>
          </w:tcPr>
          <w:p>
            <w:pPr>
              <w:spacing w:after="40" w:before="40" w:line="247" w:lineRule="auto"/>
            </w:pPr>
            <w:r>
              <w:rPr>
                <w:sz w:val="20"/>
              </w:rPr>
              <w:t>2022</w:t>
            </w:r>
          </w:p>
        </w:tc>
        <w:tc>
          <w:tcPr>
            <w:tcW w:type="dxa" w:w="9043"/>
            <w:vAlign w:val="center"/>
            <w:tcMar>
              <w:top w:w="90" w:type="dxa"/>
              <w:left w:w="90" w:type="dxa"/>
              <w:bottom w:w="90" w:type="dxa"/>
              <w:right w:w="90" w:type="dxa"/>
            </w:tcMar>
            <w:shd w:fill="EEF3F6"/>
          </w:tcPr>
          <w:p>
            <w:pPr>
              <w:spacing w:after="40" w:before="40" w:line="247" w:lineRule="auto"/>
            </w:pPr>
            <w:r>
              <w:rPr>
                <w:sz w:val="20"/>
              </w:rPr>
              <w:t>Studies showed effects on amyloid clumping and disassembly, protection of neurons, and improved memory-related performance and amyloid measures in 5xFAD mice. Separate work examined amyloid precursor protein processing, including in human-derived neurons. [3, 4, 6]</w:t>
            </w:r>
          </w:p>
        </w:tc>
      </w:tr>
      <w:tr>
        <w:trPr>
          <w:cantSplit/>
        </w:trPr>
        <w:tc>
          <w:tcPr>
            <w:tcW w:type="dxa" w:w="1037"/>
            <w:vAlign w:val="center"/>
            <w:tcMar>
              <w:top w:w="90" w:type="dxa"/>
              <w:left w:w="90" w:type="dxa"/>
              <w:bottom w:w="90" w:type="dxa"/>
              <w:right w:w="90" w:type="dxa"/>
            </w:tcMar>
            <w:shd w:fill="FFFFFF"/>
          </w:tcPr>
          <w:p>
            <w:pPr>
              <w:spacing w:after="40" w:before="40" w:line="247" w:lineRule="auto"/>
            </w:pPr>
            <w:r>
              <w:rPr>
                <w:sz w:val="20"/>
              </w:rPr>
              <w:t>2023</w:t>
            </w:r>
          </w:p>
        </w:tc>
        <w:tc>
          <w:tcPr>
            <w:tcW w:type="dxa" w:w="9043"/>
            <w:vAlign w:val="center"/>
            <w:tcMar>
              <w:top w:w="90" w:type="dxa"/>
              <w:left w:w="90" w:type="dxa"/>
              <w:bottom w:w="90" w:type="dxa"/>
              <w:right w:w="90" w:type="dxa"/>
            </w:tcMar>
            <w:shd w:fill="FFFFFF"/>
          </w:tcPr>
          <w:p>
            <w:pPr>
              <w:spacing w:after="40" w:before="40" w:line="247" w:lineRule="auto"/>
            </w:pPr>
            <w:r>
              <w:rPr>
                <w:sz w:val="20"/>
              </w:rPr>
              <w:t>Fluorescently labeled PLGA was investigated for detecting amyloid deposits in mice. This diagnostic direction is separate from proving therapeutic benefit. [15]</w:t>
            </w:r>
          </w:p>
        </w:tc>
      </w:tr>
      <w:tr>
        <w:trPr>
          <w:cantSplit/>
        </w:trPr>
        <w:tc>
          <w:tcPr>
            <w:tcW w:type="dxa" w:w="1037"/>
            <w:vAlign w:val="center"/>
            <w:tcMar>
              <w:top w:w="90" w:type="dxa"/>
              <w:left w:w="90" w:type="dxa"/>
              <w:bottom w:w="90" w:type="dxa"/>
              <w:right w:w="90" w:type="dxa"/>
            </w:tcMar>
            <w:shd w:fill="EEF3F6"/>
          </w:tcPr>
          <w:p>
            <w:pPr>
              <w:spacing w:after="40" w:before="40" w:line="247" w:lineRule="auto"/>
            </w:pPr>
            <w:r>
              <w:rPr>
                <w:sz w:val="20"/>
              </w:rPr>
              <w:t>2024</w:t>
            </w:r>
          </w:p>
        </w:tc>
        <w:tc>
          <w:tcPr>
            <w:tcW w:type="dxa" w:w="9043"/>
            <w:vAlign w:val="center"/>
            <w:tcMar>
              <w:top w:w="90" w:type="dxa"/>
              <w:left w:w="90" w:type="dxa"/>
              <w:bottom w:w="90" w:type="dxa"/>
              <w:right w:w="90" w:type="dxa"/>
            </w:tcMar>
            <w:shd w:fill="EEF3F6"/>
          </w:tcPr>
          <w:p>
            <w:pPr>
              <w:spacing w:after="40" w:before="40" w:line="247" w:lineRule="auto"/>
            </w:pPr>
            <w:r>
              <w:rPr>
                <w:sz w:val="20"/>
              </w:rPr>
              <w:t>Experiments showed reduced amyloid-seeded aggregation of tau, including tau forms involved in Alzheimer tangles. This extended the rationale beyond amyloid alone. [7]</w:t>
            </w:r>
          </w:p>
        </w:tc>
      </w:tr>
      <w:tr>
        <w:trPr>
          <w:cantSplit/>
        </w:trPr>
        <w:tc>
          <w:tcPr>
            <w:tcW w:type="dxa" w:w="1037"/>
            <w:vAlign w:val="center"/>
            <w:tcMar>
              <w:top w:w="90" w:type="dxa"/>
              <w:left w:w="90" w:type="dxa"/>
              <w:bottom w:w="90" w:type="dxa"/>
              <w:right w:w="90" w:type="dxa"/>
            </w:tcMar>
            <w:shd w:fill="FFFFFF"/>
          </w:tcPr>
          <w:p>
            <w:pPr>
              <w:spacing w:after="40" w:before="40" w:line="247" w:lineRule="auto"/>
            </w:pPr>
            <w:r>
              <w:rPr>
                <w:sz w:val="20"/>
              </w:rPr>
              <w:t>2025</w:t>
            </w:r>
          </w:p>
        </w:tc>
        <w:tc>
          <w:tcPr>
            <w:tcW w:type="dxa" w:w="9043"/>
            <w:vAlign w:val="center"/>
            <w:tcMar>
              <w:top w:w="90" w:type="dxa"/>
              <w:left w:w="90" w:type="dxa"/>
              <w:bottom w:w="90" w:type="dxa"/>
              <w:right w:w="90" w:type="dxa"/>
            </w:tcMar>
            <w:shd w:fill="FFFFFF"/>
          </w:tcPr>
          <w:p>
            <w:pPr>
              <w:spacing w:after="40" w:before="40" w:line="247" w:lineRule="auto"/>
            </w:pPr>
            <w:r>
              <w:rPr>
                <w:sz w:val="20"/>
              </w:rPr>
              <w:t>Further laboratory work investigated tau aggregation and disassembly across temperatures. The PEG–PLGA study pursued a more stable formulation while retaining anti-amyloid activity. [8, 9]</w:t>
            </w:r>
          </w:p>
        </w:tc>
      </w:tr>
      <w:tr>
        <w:trPr>
          <w:cantSplit/>
        </w:trPr>
        <w:tc>
          <w:tcPr>
            <w:tcW w:type="dxa" w:w="1037"/>
            <w:vAlign w:val="center"/>
            <w:tcMar>
              <w:top w:w="90" w:type="dxa"/>
              <w:left w:w="90" w:type="dxa"/>
              <w:bottom w:w="90" w:type="dxa"/>
              <w:right w:w="90" w:type="dxa"/>
            </w:tcMar>
            <w:shd w:fill="EEF3F6"/>
          </w:tcPr>
          <w:p>
            <w:pPr>
              <w:spacing w:after="40" w:before="40" w:line="247" w:lineRule="auto"/>
            </w:pPr>
            <w:r>
              <w:rPr>
                <w:sz w:val="20"/>
              </w:rPr>
              <w:t>2026</w:t>
            </w:r>
          </w:p>
        </w:tc>
        <w:tc>
          <w:tcPr>
            <w:tcW w:type="dxa" w:w="9043"/>
            <w:vAlign w:val="center"/>
            <w:tcMar>
              <w:top w:w="90" w:type="dxa"/>
              <w:left w:w="90" w:type="dxa"/>
              <w:bottom w:w="90" w:type="dxa"/>
              <w:right w:w="90" w:type="dxa"/>
            </w:tcMar>
            <w:shd w:fill="EEF3F6"/>
          </w:tcPr>
          <w:p>
            <w:pPr>
              <w:spacing w:after="40" w:before="40" w:line="247" w:lineRule="auto"/>
            </w:pPr>
            <w:r>
              <w:rPr>
                <w:sz w:val="20"/>
              </w:rPr>
              <w:t>The later-stage mouse study described on page 1 and a new PEG–PLGA research grant advanced the program. September publicity concerned this preclinical work, rather than a newly demonstrated treatment in patients. [1, 11]</w:t>
            </w:r>
          </w:p>
        </w:tc>
      </w:tr>
    </w:tbl>
    <w:p>
      <w:pPr>
        <w:spacing w:before="0" w:after="60" w:line="20" w:lineRule="exact"/>
      </w:pPr>
      <w:r>
        <w:rPr>
          <w:sz w:val="2"/>
        </w:rPr>
      </w:r>
    </w:p>
    <w:p>
      <w:pPr>
        <w:pStyle w:val="Heading1"/>
      </w:pPr>
      <w:r>
        <w:t>Who funded the research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632"/>
      </w:tblGrid>
      <w:tr>
        <w:trPr>
          <w:cantSplit/>
          <w:tblHeader/>
        </w:trPr>
        <w:tc>
          <w:tcPr>
            <w:tcW w:type="dxa" w:w="2448"/>
            <w:vAlign w:val="center"/>
            <w:tcMar>
              <w:top w:w="90" w:type="dxa"/>
              <w:left w:w="90" w:type="dxa"/>
              <w:bottom w:w="90" w:type="dxa"/>
              <w:right w:w="90" w:type="dxa"/>
            </w:tcMar>
            <w:shd w:fill="173E58"/>
          </w:tcPr>
          <w:p>
            <w:pPr>
              <w:spacing w:after="40" w:before="40" w:line="247" w:lineRule="auto"/>
            </w:pPr>
            <w:r>
              <w:rPr>
                <w:b/>
                <w:color w:val="FFFFFF"/>
                <w:sz w:val="20"/>
              </w:rPr>
              <w:t>Research or support</w:t>
            </w:r>
          </w:p>
        </w:tc>
        <w:tc>
          <w:tcPr>
            <w:tcW w:type="dxa" w:w="7632"/>
            <w:vAlign w:val="center"/>
            <w:tcMar>
              <w:top w:w="90" w:type="dxa"/>
              <w:left w:w="90" w:type="dxa"/>
              <w:bottom w:w="90" w:type="dxa"/>
              <w:right w:w="90" w:type="dxa"/>
            </w:tcMar>
            <w:shd w:fill="173E58"/>
          </w:tcPr>
          <w:p>
            <w:pPr>
              <w:spacing w:after="40" w:before="40" w:line="247" w:lineRule="auto"/>
            </w:pPr>
            <w:r>
              <w:rPr>
                <w:b/>
                <w:color w:val="FFFFFF"/>
                <w:sz w:val="20"/>
              </w:rPr>
              <w:t>Named funders and awards</w:t>
            </w:r>
          </w:p>
        </w:tc>
      </w:tr>
      <w:tr>
        <w:trPr>
          <w:cantSplit/>
        </w:trPr>
        <w:tc>
          <w:tcPr>
            <w:tcW w:type="dxa" w:w="2448"/>
            <w:vAlign w:val="center"/>
            <w:tcMar>
              <w:top w:w="90" w:type="dxa"/>
              <w:left w:w="90" w:type="dxa"/>
              <w:bottom w:w="90" w:type="dxa"/>
              <w:right w:w="90" w:type="dxa"/>
            </w:tcMar>
            <w:shd w:fill="FFFFFF"/>
          </w:tcPr>
          <w:p>
            <w:pPr>
              <w:spacing w:after="40" w:before="40" w:line="247" w:lineRule="auto"/>
            </w:pPr>
            <w:r>
              <w:rPr>
                <w:sz w:val="20"/>
              </w:rPr>
              <w:t>May 2026 study</w:t>
            </w:r>
          </w:p>
        </w:tc>
        <w:tc>
          <w:tcPr>
            <w:tcW w:type="dxa" w:w="7632"/>
            <w:vAlign w:val="center"/>
            <w:tcMar>
              <w:top w:w="90" w:type="dxa"/>
              <w:left w:w="90" w:type="dxa"/>
              <w:bottom w:w="90" w:type="dxa"/>
              <w:right w:w="90" w:type="dxa"/>
            </w:tcMar>
            <w:shd w:fill="FFFFFF"/>
          </w:tcPr>
          <w:p>
            <w:pPr>
              <w:spacing w:after="40" w:before="40" w:line="247" w:lineRule="auto"/>
            </w:pPr>
            <w:r>
              <w:rPr>
                <w:sz w:val="20"/>
              </w:rPr>
              <w:t>Canadian Institutes of Health Research, MOP-84480, and Alzheimer Society of Alberta and Northwest Territories: Kar. U.S. NIH National Institute on Aging, RF1AG077610 and RF1AG079141: collaborator Gopal Thinakaran. [2]</w:t>
            </w:r>
          </w:p>
        </w:tc>
      </w:tr>
      <w:tr>
        <w:trPr>
          <w:cantSplit/>
        </w:trPr>
        <w:tc>
          <w:tcPr>
            <w:tcW w:type="dxa" w:w="2448"/>
            <w:vAlign w:val="center"/>
            <w:tcMar>
              <w:top w:w="90" w:type="dxa"/>
              <w:left w:w="90" w:type="dxa"/>
              <w:bottom w:w="90" w:type="dxa"/>
              <w:right w:w="90" w:type="dxa"/>
            </w:tcMar>
            <w:shd w:fill="EEF3F6"/>
          </w:tcPr>
          <w:p>
            <w:pPr>
              <w:spacing w:after="40" w:before="40" w:line="247" w:lineRule="auto"/>
            </w:pPr>
            <w:r>
              <w:rPr>
                <w:sz w:val="20"/>
              </w:rPr>
              <w:t>Additional team support</w:t>
            </w:r>
          </w:p>
        </w:tc>
        <w:tc>
          <w:tcPr>
            <w:tcW w:type="dxa" w:w="7632"/>
            <w:vAlign w:val="center"/>
            <w:tcMar>
              <w:top w:w="90" w:type="dxa"/>
              <w:left w:w="90" w:type="dxa"/>
              <w:bottom w:w="90" w:type="dxa"/>
              <w:right w:w="90" w:type="dxa"/>
            </w:tcMar>
            <w:shd w:fill="EEF3F6"/>
          </w:tcPr>
          <w:p>
            <w:pPr>
              <w:spacing w:after="40" w:before="40" w:line="247" w:lineRule="auto"/>
            </w:pPr>
            <w:r>
              <w:rPr>
                <w:sz w:val="20"/>
              </w:rPr>
              <w:t>University of Alberta Ballermann and SynAD fellowships: Karthivashan Govindarajan. CIHR PJT-175090 to Simonetta Sipione supported Danny Galleguillos. [2]</w:t>
            </w:r>
          </w:p>
        </w:tc>
      </w:tr>
      <w:tr>
        <w:trPr>
          <w:cantSplit/>
        </w:trPr>
        <w:tc>
          <w:tcPr>
            <w:tcW w:type="dxa" w:w="2448"/>
            <w:vAlign w:val="center"/>
            <w:tcMar>
              <w:top w:w="90" w:type="dxa"/>
              <w:left w:w="90" w:type="dxa"/>
              <w:bottom w:w="90" w:type="dxa"/>
              <w:right w:w="90" w:type="dxa"/>
            </w:tcMar>
            <w:shd w:fill="FFFFFF"/>
          </w:tcPr>
          <w:p>
            <w:pPr>
              <w:spacing w:after="40" w:before="40" w:line="247" w:lineRule="auto"/>
            </w:pPr>
            <w:r>
              <w:rPr>
                <w:sz w:val="20"/>
              </w:rPr>
              <w:t>2025 PEG–PLGA paper</w:t>
            </w:r>
          </w:p>
        </w:tc>
        <w:tc>
          <w:tcPr>
            <w:tcW w:type="dxa" w:w="7632"/>
            <w:vAlign w:val="center"/>
            <w:tcMar>
              <w:top w:w="90" w:type="dxa"/>
              <w:left w:w="90" w:type="dxa"/>
              <w:bottom w:w="90" w:type="dxa"/>
              <w:right w:w="90" w:type="dxa"/>
            </w:tcMar>
            <w:shd w:fill="FFFFFF"/>
          </w:tcPr>
          <w:p>
            <w:pPr>
              <w:spacing w:after="40" w:before="40" w:line="247" w:lineRule="auto"/>
            </w:pPr>
            <w:r>
              <w:rPr>
                <w:sz w:val="20"/>
              </w:rPr>
              <w:t>Funding metadata lists Institute of Aging award 461406 and Natural Sciences and Engineering Research Council of Canada award 2020-04671. [9]</w:t>
            </w:r>
          </w:p>
        </w:tc>
      </w:tr>
      <w:tr>
        <w:trPr>
          <w:cantSplit/>
        </w:trPr>
        <w:tc>
          <w:tcPr>
            <w:tcW w:type="dxa" w:w="2448"/>
            <w:vAlign w:val="center"/>
            <w:tcMar>
              <w:top w:w="90" w:type="dxa"/>
              <w:left w:w="90" w:type="dxa"/>
              <w:bottom w:w="90" w:type="dxa"/>
              <w:right w:w="90" w:type="dxa"/>
            </w:tcMar>
            <w:shd w:fill="EEF3F6"/>
          </w:tcPr>
          <w:p>
            <w:pPr>
              <w:spacing w:after="40" w:before="40" w:line="247" w:lineRule="auto"/>
            </w:pPr>
            <w:r>
              <w:rPr>
                <w:sz w:val="20"/>
              </w:rPr>
              <w:t>New project starting in 2026</w:t>
            </w:r>
          </w:p>
        </w:tc>
        <w:tc>
          <w:tcPr>
            <w:tcW w:type="dxa" w:w="7632"/>
            <w:vAlign w:val="center"/>
            <w:tcMar>
              <w:top w:w="90" w:type="dxa"/>
              <w:left w:w="90" w:type="dxa"/>
              <w:bottom w:w="90" w:type="dxa"/>
              <w:right w:w="90" w:type="dxa"/>
            </w:tcMar>
            <w:shd w:fill="EEF3F6"/>
          </w:tcPr>
          <w:p>
            <w:pPr>
              <w:spacing w:after="40" w:before="40" w:line="247" w:lineRule="auto"/>
            </w:pPr>
            <w:r>
              <w:rPr>
                <w:sz w:val="20"/>
              </w:rPr>
              <w:t>Brain Canada and Alzheimer Society of Canada partnership: $100,000 total, including a $50,000 Brain Canada contribution, for PEG–PLGA research. The directory displays dollar amounts without an explicit currency label. [11]</w:t>
            </w:r>
          </w:p>
        </w:tc>
      </w:tr>
    </w:tbl>
    <w:p>
      <w:pPr>
        <w:spacing w:before="0" w:after="60" w:line="20" w:lineRule="exact"/>
      </w:pPr>
      <w:r>
        <w:rPr>
          <w:sz w:val="2"/>
        </w:rPr>
      </w:r>
    </w:p>
    <w:p>
      <w:r>
        <w:t>The $100,000 is a project award, not total program funding. Program support includes the Canada Brain Research Fund partnership involving Health Canada. [11, 12]</w:t>
      </w:r>
    </w:p>
    <w:p>
      <w:pPr>
        <w:pStyle w:val="Heading1"/>
        <w:pageBreakBefore/>
      </w:pPr>
      <w:r>
        <w:t>What the findings could mean at each disease stage</w:t>
      </w:r>
    </w:p>
    <w:p>
      <w:r>
        <w:t>The table below is an evidence-based interpretation, not a set of demonstrated PLGA treatment outcomes. Human Alzheimer disease involves progressive disruption and loss of neurons and their connections. That makes preservation of functioning tissue a different challenge from rebuilding tissue already lost. [14]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76"/>
        <w:gridCol w:w="7704"/>
      </w:tblGrid>
      <w:tr>
        <w:trPr>
          <w:cantSplit/>
          <w:tblHeader/>
        </w:trPr>
        <w:tc>
          <w:tcPr>
            <w:tcW w:type="dxa" w:w="2376"/>
            <w:vAlign w:val="center"/>
            <w:tcMar>
              <w:top w:w="90" w:type="dxa"/>
              <w:left w:w="90" w:type="dxa"/>
              <w:bottom w:w="90" w:type="dxa"/>
              <w:right w:w="90" w:type="dxa"/>
            </w:tcMar>
            <w:shd w:fill="173E58"/>
          </w:tcPr>
          <w:p>
            <w:pPr>
              <w:spacing w:after="40" w:before="40" w:line="247" w:lineRule="auto"/>
            </w:pPr>
            <w:r>
              <w:rPr>
                <w:b/>
                <w:color w:val="FFFFFF"/>
                <w:sz w:val="21"/>
              </w:rPr>
              <w:t>Clinical stage</w:t>
            </w:r>
          </w:p>
        </w:tc>
        <w:tc>
          <w:tcPr>
            <w:tcW w:type="dxa" w:w="7704"/>
            <w:vAlign w:val="center"/>
            <w:tcMar>
              <w:top w:w="90" w:type="dxa"/>
              <w:left w:w="90" w:type="dxa"/>
              <w:bottom w:w="90" w:type="dxa"/>
              <w:right w:w="90" w:type="dxa"/>
            </w:tcMar>
            <w:shd w:fill="173E58"/>
          </w:tcPr>
          <w:p>
            <w:pPr>
              <w:spacing w:after="40" w:before="40" w:line="247" w:lineRule="auto"/>
            </w:pPr>
            <w:r>
              <w:rPr>
                <w:b/>
                <w:color w:val="FFFFFF"/>
                <w:sz w:val="21"/>
              </w:rPr>
              <w:t>Realistic interpretation of the potential</w:t>
            </w:r>
          </w:p>
        </w:tc>
      </w:tr>
      <w:tr>
        <w:trPr>
          <w:cantSplit/>
        </w:trPr>
        <w:tc>
          <w:tcPr>
            <w:tcW w:type="dxa" w:w="2376"/>
            <w:vAlign w:val="center"/>
            <w:tcMar>
              <w:top w:w="90" w:type="dxa"/>
              <w:left w:w="90" w:type="dxa"/>
              <w:bottom w:w="90" w:type="dxa"/>
              <w:right w:w="90" w:type="dxa"/>
            </w:tcMar>
            <w:shd w:fill="FFFFFF"/>
          </w:tcPr>
          <w:p>
            <w:pPr>
              <w:spacing w:after="40" w:before="40" w:line="247" w:lineRule="auto"/>
            </w:pPr>
            <w:r>
              <w:rPr>
                <w:sz w:val="21"/>
              </w:rPr>
              <w:t>Before symptoms</w:t>
              <w:br/>
              <w:t>Biological changes only</w:t>
            </w:r>
          </w:p>
        </w:tc>
        <w:tc>
          <w:tcPr>
            <w:tcW w:type="dxa" w:w="7704"/>
            <w:vAlign w:val="center"/>
            <w:tcMar>
              <w:top w:w="90" w:type="dxa"/>
              <w:left w:w="90" w:type="dxa"/>
              <w:bottom w:w="90" w:type="dxa"/>
              <w:right w:w="90" w:type="dxa"/>
            </w:tcMar>
            <w:shd w:fill="FFFFFF"/>
          </w:tcPr>
          <w:p>
            <w:pPr>
              <w:spacing w:after="40" w:before="40" w:line="247" w:lineRule="auto"/>
            </w:pPr>
            <w:r>
              <w:rPr>
                <w:sz w:val="21"/>
              </w:rPr>
              <w:t>Potentially a useful prevention target if the approach can be delivered safely for long periods. There is no evidence that these particles prevent dementia in people, and a preventive treatment would require particularly strong long-term safety evidence.</w:t>
            </w:r>
          </w:p>
        </w:tc>
      </w:tr>
      <w:tr>
        <w:trPr>
          <w:cantSplit/>
        </w:trPr>
        <w:tc>
          <w:tcPr>
            <w:tcW w:type="dxa" w:w="2376"/>
            <w:vAlign w:val="center"/>
            <w:tcMar>
              <w:top w:w="90" w:type="dxa"/>
              <w:left w:w="90" w:type="dxa"/>
              <w:bottom w:w="90" w:type="dxa"/>
              <w:right w:w="90" w:type="dxa"/>
            </w:tcMar>
            <w:shd w:fill="EEF3F6"/>
          </w:tcPr>
          <w:p>
            <w:pPr>
              <w:spacing w:after="40" w:before="40" w:line="247" w:lineRule="auto"/>
            </w:pPr>
            <w:r>
              <w:rPr>
                <w:sz w:val="21"/>
              </w:rPr>
              <w:t>Mild cognitive impairment due to Alzheimer disease</w:t>
            </w:r>
          </w:p>
        </w:tc>
        <w:tc>
          <w:tcPr>
            <w:tcW w:type="dxa" w:w="7704"/>
            <w:vAlign w:val="center"/>
            <w:tcMar>
              <w:top w:w="90" w:type="dxa"/>
              <w:left w:w="90" w:type="dxa"/>
              <w:bottom w:w="90" w:type="dxa"/>
              <w:right w:w="90" w:type="dxa"/>
            </w:tcMar>
            <w:shd w:fill="EEF3F6"/>
          </w:tcPr>
          <w:p>
            <w:pPr>
              <w:spacing w:after="40" w:before="40" w:line="247" w:lineRule="auto"/>
            </w:pPr>
            <w:r>
              <w:rPr>
                <w:sz w:val="21"/>
              </w:rPr>
              <w:t>A plausible future study population: memory or thinking problems are present, but much everyday independence remains. If the mechanism translates, preserving function or slowing decline would be more defensible goals than promising a cure.</w:t>
            </w:r>
          </w:p>
        </w:tc>
      </w:tr>
      <w:tr>
        <w:trPr>
          <w:cantSplit/>
        </w:trPr>
        <w:tc>
          <w:tcPr>
            <w:tcW w:type="dxa" w:w="2376"/>
            <w:vAlign w:val="center"/>
            <w:tcMar>
              <w:top w:w="90" w:type="dxa"/>
              <w:left w:w="90" w:type="dxa"/>
              <w:bottom w:w="90" w:type="dxa"/>
              <w:right w:w="90" w:type="dxa"/>
            </w:tcMar>
            <w:shd w:fill="FFFFFF"/>
          </w:tcPr>
          <w:p>
            <w:pPr>
              <w:spacing w:after="40" w:before="40" w:line="247" w:lineRule="auto"/>
            </w:pPr>
            <w:r>
              <w:rPr>
                <w:sz w:val="21"/>
              </w:rPr>
              <w:t>Mild Alzheimer dementia</w:t>
            </w:r>
          </w:p>
        </w:tc>
        <w:tc>
          <w:tcPr>
            <w:tcW w:type="dxa" w:w="7704"/>
            <w:vAlign w:val="center"/>
            <w:tcMar>
              <w:top w:w="90" w:type="dxa"/>
              <w:left w:w="90" w:type="dxa"/>
              <w:bottom w:w="90" w:type="dxa"/>
              <w:right w:w="90" w:type="dxa"/>
            </w:tcMar>
            <w:shd w:fill="FFFFFF"/>
          </w:tcPr>
          <w:p>
            <w:pPr>
              <w:spacing w:after="40" w:before="40" w:line="247" w:lineRule="auto"/>
            </w:pPr>
            <w:r>
              <w:rPr>
                <w:sz w:val="21"/>
              </w:rPr>
              <w:t>Also a plausible future study population. A meaningful result would be sustained benefit in daily activities as well as memory testing. Current animal findings cannot tell us how large such a benefit would be or how long it would last.</w:t>
            </w:r>
          </w:p>
        </w:tc>
      </w:tr>
      <w:tr>
        <w:trPr>
          <w:cantSplit/>
        </w:trPr>
        <w:tc>
          <w:tcPr>
            <w:tcW w:type="dxa" w:w="2376"/>
            <w:vAlign w:val="center"/>
            <w:tcMar>
              <w:top w:w="90" w:type="dxa"/>
              <w:left w:w="90" w:type="dxa"/>
              <w:bottom w:w="90" w:type="dxa"/>
              <w:right w:w="90" w:type="dxa"/>
            </w:tcMar>
            <w:shd w:fill="EEF3F6"/>
          </w:tcPr>
          <w:p>
            <w:pPr>
              <w:spacing w:after="40" w:before="40" w:line="247" w:lineRule="auto"/>
            </w:pPr>
            <w:r>
              <w:rPr>
                <w:sz w:val="21"/>
              </w:rPr>
              <w:t>Moderate Alzheimer dementia</w:t>
            </w:r>
          </w:p>
        </w:tc>
        <w:tc>
          <w:tcPr>
            <w:tcW w:type="dxa" w:w="7704"/>
            <w:vAlign w:val="center"/>
            <w:tcMar>
              <w:top w:w="90" w:type="dxa"/>
              <w:left w:w="90" w:type="dxa"/>
              <w:bottom w:w="90" w:type="dxa"/>
              <w:right w:w="90" w:type="dxa"/>
            </w:tcMar>
            <w:shd w:fill="EEF3F6"/>
          </w:tcPr>
          <w:p>
            <w:pPr>
              <w:spacing w:after="40" w:before="40" w:line="247" w:lineRule="auto"/>
            </w:pPr>
            <w:r>
              <w:rPr>
                <w:sz w:val="21"/>
              </w:rPr>
              <w:t>Considerably more uncertain. Reducing toxic proteins might protect surviving cells, but that does not establish recovery of language, judgment, or self-care. This stage would need its own clinical evidence.</w:t>
            </w:r>
          </w:p>
        </w:tc>
      </w:tr>
      <w:tr>
        <w:trPr>
          <w:cantSplit/>
        </w:trPr>
        <w:tc>
          <w:tcPr>
            <w:tcW w:type="dxa" w:w="2376"/>
            <w:vAlign w:val="center"/>
            <w:tcMar>
              <w:top w:w="90" w:type="dxa"/>
              <w:left w:w="90" w:type="dxa"/>
              <w:bottom w:w="90" w:type="dxa"/>
              <w:right w:w="90" w:type="dxa"/>
            </w:tcMar>
            <w:shd w:fill="FFFFFF"/>
          </w:tcPr>
          <w:p>
            <w:pPr>
              <w:spacing w:after="40" w:before="40" w:line="247" w:lineRule="auto"/>
            </w:pPr>
            <w:r>
              <w:rPr>
                <w:sz w:val="21"/>
              </w:rPr>
              <w:t>Severe or advanced Alzheimer dementia</w:t>
            </w:r>
          </w:p>
        </w:tc>
        <w:tc>
          <w:tcPr>
            <w:tcW w:type="dxa" w:w="7704"/>
            <w:vAlign w:val="center"/>
            <w:tcMar>
              <w:top w:w="90" w:type="dxa"/>
              <w:left w:w="90" w:type="dxa"/>
              <w:bottom w:w="90" w:type="dxa"/>
              <w:right w:w="90" w:type="dxa"/>
            </w:tcMar>
            <w:shd w:fill="FFFFFF"/>
          </w:tcPr>
          <w:p>
            <w:pPr>
              <w:spacing w:after="40" w:before="40" w:line="247" w:lineRule="auto"/>
            </w:pPr>
            <w:r>
              <w:rPr>
                <w:sz w:val="21"/>
              </w:rPr>
              <w:t>The weakest basis for expecting major restoration, because widespread tissue and network loss is already present. There is no evidence here that nanoparticles replace lost neurons or rebuild the networks needed for independence.</w:t>
            </w:r>
          </w:p>
        </w:tc>
      </w:tr>
    </w:tbl>
    <w:p>
      <w:pPr>
        <w:spacing w:before="0" w:after="60" w:line="20" w:lineRule="exact"/>
      </w:pPr>
      <w:r>
        <w:rPr>
          <w:sz w:val="2"/>
        </w:rPr>
      </w:r>
    </w:p>
    <w:p>
      <w:r>
        <w:rPr>
          <w:b/>
        </w:rPr>
        <w:t>Overall assessment:</w:t>
      </w:r>
      <w:r>
        <w:t xml:space="preserve"> the strongest theoretical opportunity is earlier intervention, while the greatest uncertainty concerns recovery in established moderate or severe dementia. This ranking is a biological inference, not a measured difference in PLGA response between patient groups.</w:t>
      </w:r>
    </w:p>
    <w:p>
      <w:pPr>
        <w:pStyle w:val="Heading1"/>
      </w:pPr>
      <w:r>
        <w:t>What existing treatments do and do not tell us</w:t>
      </w:r>
    </w:p>
    <w:p>
      <w:r>
        <w:t>Lecanemab and donanemab provide a useful benchmark: their clinical evidence concerns people with confirmed amyloid pathology and mild cognitive impairment or mild dementia. They can slow decline in appropriate patients; they do not establish that removing amyloid restores advanced dementia. Their risks include amyloid-related imaging abnormalities, including brain swelling or bleeding. [16, 17]</w:t>
      </w:r>
    </w:p>
    <w:p>
      <w:r>
        <w:t>PLGA has not been compared with these medicines in a human trial reported in the sources reviewed. Claims that it will work better, cost less, avoid those risks, or help every disease stage would therefore be premature. Its familiar material chemistry is a development advantage, not an Alzheimer treatment approval.</w:t>
      </w:r>
    </w:p>
    <w:p>
      <w:pPr>
        <w:pStyle w:val="Heading2"/>
      </w:pPr>
      <w:r>
        <w:t>What would count as success for a family</w:t>
      </w:r>
    </w:p>
    <w:p>
      <w:r>
        <w:t>The important outcomes would include retaining the ability to manage daily tasks, communicate, remain safely at home, and participate in family life. A future study should measure those outcomes alongside memory scores and biomarkers. A lower plaque measurement alone would not answer the family’s question.</w:t>
      </w:r>
    </w:p>
    <w:p>
      <w:pPr>
        <w:pStyle w:val="Heading1"/>
        <w:pageBreakBefore/>
      </w:pPr>
      <w:r>
        <w:t>What must happen before this could become a treatment</w:t>
      </w:r>
    </w:p>
    <w:p>
      <w:r>
        <w:t>The following evidence requirements would help establish whether this approach can become a useful medicine. They are not an announced development schedule.</w:t>
      </w:r>
    </w:p>
    <w:p>
      <w:pPr>
        <w:pStyle w:val="Heading2"/>
      </w:pPr>
      <w:r>
        <w:t>Establish reliable delivery and duration</w:t>
      </w:r>
    </w:p>
    <w:p>
      <w:r>
        <w:t>Researchers need a practical formulation that reaches its intended target at an effective concentration and remains active long enough to be useful. Kar’s September update specifically describes collaborations on blood–brain barrier passage and half-life. Those questions remain central even if the polymer itself has favorable properties. [1]</w:t>
      </w:r>
    </w:p>
    <w:p>
      <w:pPr>
        <w:pStyle w:val="Heading2"/>
      </w:pPr>
      <w:r>
        <w:t>Confirm the result under more demanding conditions</w:t>
      </w:r>
    </w:p>
    <w:p>
      <w:r>
        <w:t>A persuasive program would include independent replication, both sexes, additional disease models, and follow-up after treatment stops. Models that capture tau-related injury and aspects of common late-onset Alzheimer disease would strengthen the case. The central question is whether the benefit survives changes in the model and experimental setting.</w:t>
      </w:r>
    </w:p>
    <w:p>
      <w:pPr>
        <w:pStyle w:val="Heading2"/>
      </w:pPr>
      <w:r>
        <w:t>Demonstrate safety for the intended use</w:t>
      </w:r>
    </w:p>
    <w:p>
      <w:r>
        <w:t>A material used successfully in another product may behave differently when its size, surface, dose, route, or treatment duration changes. Safety studies would need to examine brain effects, immune responses, distribution to other organs, degradation, and repeated exposure. The relevant question is the safety of the final formulation and regimen, not whether the word PLGA already appears in approved medical products.</w:t>
      </w:r>
    </w:p>
    <w:p>
      <w:pPr>
        <w:pStyle w:val="Heading2"/>
      </w:pPr>
      <w:r>
        <w:t>Show meaningful benefit in people</w:t>
      </w:r>
    </w:p>
    <w:p>
      <w:r>
        <w:t>First-in-human studies would need to establish tolerability and dosing, followed by controlled trials of cognition and daily function. Separate evidence would be needed for different disease stages. Until those results exist, a probability of success, an expected number of years of benefit, or a reliable availability date cannot be assigned.</w:t>
      </w:r>
    </w:p>
    <w:p>
      <w:pPr>
        <w:pStyle w:val="Heading1"/>
      </w:pPr>
      <w:r>
        <w:t>Implications for Hawaiʻi</w:t>
      </w:r>
    </w:p>
    <w:p>
      <w:r>
        <w:t>The attached HANAI Memory Network infographic describes a pathway linking community access, primary care, memory assessment, treatment, and continuing support. As service-planning context, it illustrates the infrastructure a future therapy could require, particularly on neighbor islands. [18]</w:t>
      </w:r>
    </w:p>
    <w:p>
      <w:r>
        <w:t>For Hawaiʻi advocacy, a practical position is to support promising research while continuing to invest in diagnosis, coordinated care, and caregiver assistance. Even a successful new therapy would require people to be identified, evaluated, monitored, and supported. Speculative future access should not displace services families need today.</w:t>
      </w:r>
    </w:p>
    <w:p>
      <w:pPr>
        <w:pStyle w:val="Heading2"/>
      </w:pPr>
      <w:r>
        <w:t>The most useful questions for Dr Kar</w:t>
      </w:r>
    </w:p>
    <w:p>
      <w:r>
        <w:t>Which formulation and delivery route is closest to human testing? Has a dose been shown to reach relevant brain regions after systemic administration? Do benefits persist when dosing ends? What evidence exists in tau models and female animals? What toxicology, manufacturing, regulatory, and funding milestones remain before a first human study?</w:t>
      </w:r>
    </w:p>
    <w:p>
      <w:r>
        <w:rPr>
          <w:b/>
        </w:rPr>
        <w:t>Scientific promise is real; clinical benefit is still unproven.</w:t>
      </w:r>
      <w:r>
        <w:t xml:space="preserve"> Present care decisions should rest on established evidence.</w:t>
      </w:r>
    </w:p>
    <w:p>
      <w:pPr>
        <w:pStyle w:val="Heading1"/>
        <w:pageBreakBefore/>
      </w:pPr>
      <w:r>
        <w:t>Sources and further reading</w:t>
      </w:r>
    </w:p>
    <w:p>
      <w:r>
        <w:t>Numbers in brackets identify the sources supporting each section. Original research and institutional records are distinguished from interpretation. Links were reviewed on September 22, 2026.</w:t>
      </w:r>
    </w:p>
    <w:p>
      <w:pPr>
        <w:spacing w:after="200"/>
      </w:pPr>
      <w:r>
        <w:rPr>
          <w:sz w:val="21"/>
        </w:rPr>
        <w:t>[1] University of Alberta, Folio. Nanoparticles show potential as new treatment for Alzheimer’s. September 2026; department announcement dated September 10. Researcher update and development priorities.</w:t>
      </w:r>
      <w:r>
        <w:br/>
      </w:r>
      <w:hyperlink r:id="rId10">
        <w:r>
          <w:rPr>
            <w:color w:val="135B84"/>
            <w:u w:val="single"/>
          </w:rPr>
          <w:t>University research update</w:t>
        </w:r>
      </w:hyperlink>
    </w:p>
    <w:p>
      <w:pPr>
        <w:spacing w:after="200"/>
      </w:pPr>
      <w:r>
        <w:rPr>
          <w:sz w:val="21"/>
        </w:rPr>
        <w:t>[2] Karthivashan G, Wang S, Wu Q, et al. Native PLGA nanoparticles attenuate disease pathology via multiple pathways in 5xFAD Alzheimer’s model. Alzheimer’s &amp; Dementia. May 20, 2026;22:e71348. Study design, results, formulation, and funding.</w:t>
      </w:r>
      <w:r>
        <w:br/>
      </w:r>
      <w:hyperlink r:id="rId11">
        <w:r>
          <w:rPr>
            <w:color w:val="135B84"/>
            <w:u w:val="single"/>
          </w:rPr>
          <w:t>doi:10.1002/alz.71348</w:t>
        </w:r>
      </w:hyperlink>
    </w:p>
    <w:p>
      <w:pPr>
        <w:spacing w:after="200"/>
      </w:pPr>
      <w:r>
        <w:rPr>
          <w:sz w:val="21"/>
        </w:rPr>
        <w:t>[3] Anand B, Wu Q, Nakhaei-Nejad M, et al. Significance of native PLGA nanoparticles in the treatment of Alzheimer’s disease pathology. Bioactive Materials. 2022;17:506–525.</w:t>
      </w:r>
      <w:r>
        <w:br/>
      </w:r>
      <w:hyperlink r:id="rId12">
        <w:r>
          <w:rPr>
            <w:color w:val="135B84"/>
            <w:u w:val="single"/>
          </w:rPr>
          <w:t>doi:10.1016/j.bioactmat.2022.05.030</w:t>
        </w:r>
      </w:hyperlink>
    </w:p>
    <w:p>
      <w:pPr>
        <w:spacing w:after="200"/>
      </w:pPr>
      <w:r>
        <w:rPr>
          <w:sz w:val="21"/>
        </w:rPr>
        <w:t>[4] Paul PS, Cho JY, Wu Q, et al. Unconjugated PLGA nanoparticles attenuate temperature-dependent β-amyloid aggregation and protect neurons against toxicity. Journal of Nanobiotechnology. 2022;20:67. Particle characterization and formulation comparisons.</w:t>
      </w:r>
      <w:r>
        <w:br/>
      </w:r>
      <w:hyperlink r:id="rId13">
        <w:r>
          <w:rPr>
            <w:color w:val="135B84"/>
            <w:u w:val="single"/>
          </w:rPr>
          <w:t>doi:10.1186/s12951-022-01269-0</w:t>
        </w:r>
      </w:hyperlink>
    </w:p>
    <w:p>
      <w:pPr>
        <w:spacing w:after="200"/>
      </w:pPr>
      <w:r>
        <w:rPr>
          <w:sz w:val="21"/>
        </w:rPr>
        <w:t>[5] Wang Y, Wu Q, Anand BG, et al. Significance of cytosolic cathepsin D in Alzheimer’s disease pathology: Protective cellular effects of PLGA nanoparticles against β-amyloid-toxicity. Neuropathology and Applied Neurobiology. 2020;46:686–706.</w:t>
      </w:r>
      <w:r>
        <w:br/>
      </w:r>
      <w:hyperlink r:id="rId14">
        <w:r>
          <w:rPr>
            <w:color w:val="135B84"/>
            <w:u w:val="single"/>
          </w:rPr>
          <w:t>doi:10.1111/nan.12647</w:t>
        </w:r>
      </w:hyperlink>
    </w:p>
    <w:p>
      <w:pPr>
        <w:spacing w:after="200"/>
      </w:pPr>
      <w:r>
        <w:rPr>
          <w:sz w:val="21"/>
        </w:rPr>
        <w:t>[6] Wu Q, Karthivashan G, Nakhaei-Nejad M, et al. Native PLGA nanoparticles regulate APP metabolism and protect neurons against β-amyloid toxicity. International Journal of Biological Macromolecules. 2022;219:1180–1196.</w:t>
      </w:r>
      <w:r>
        <w:br/>
      </w:r>
      <w:hyperlink r:id="rId15">
        <w:r>
          <w:rPr>
            <w:color w:val="135B84"/>
            <w:u w:val="single"/>
          </w:rPr>
          <w:t>Publisher record</w:t>
        </w:r>
      </w:hyperlink>
    </w:p>
    <w:p>
      <w:pPr>
        <w:spacing w:after="200"/>
      </w:pPr>
      <w:r>
        <w:rPr>
          <w:sz w:val="21"/>
        </w:rPr>
        <w:t>[7] Paul PS, Patel T, Cho JY, et al. Native PLGA nanoparticles attenuate Aβ-seed induced tau aggregation under in vitro conditions. Scientific Reports. January 2, 2024;14:144.</w:t>
      </w:r>
      <w:r>
        <w:br/>
      </w:r>
      <w:hyperlink r:id="rId16">
        <w:r>
          <w:rPr>
            <w:color w:val="135B84"/>
            <w:u w:val="single"/>
          </w:rPr>
          <w:t>doi:10.1038/s41598-023-50465-x</w:t>
        </w:r>
      </w:hyperlink>
    </w:p>
    <w:p>
      <w:pPr>
        <w:spacing w:after="200"/>
      </w:pPr>
      <w:r>
        <w:rPr>
          <w:sz w:val="21"/>
        </w:rPr>
        <w:t>[8] Temperature-Dependent Aggregation of Tau Protein Is Attenuated by Native PLGA Nanoparticles Under in vitro Conditions. International Journal of Nanomedicine. February 2025;20:1999–2019.</w:t>
      </w:r>
      <w:r>
        <w:br/>
      </w:r>
      <w:hyperlink r:id="rId17">
        <w:r>
          <w:rPr>
            <w:color w:val="135B84"/>
            <w:u w:val="single"/>
          </w:rPr>
          <w:t>doi:10.2147/IJN.S494104</w:t>
        </w:r>
      </w:hyperlink>
    </w:p>
    <w:p>
      <w:pPr>
        <w:spacing w:after="200"/>
      </w:pPr>
      <w:r>
        <w:rPr>
          <w:sz w:val="21"/>
        </w:rPr>
        <w:t>[9] Native PEG–PLGA Attenuates β-Amyloid Aggregation and Toxicity under In Vitro Conditions. ACS Chemical Neuroscience. Online November 17, 2025;16:4446–4457. Formulation study and publisher funding metadata.</w:t>
      </w:r>
      <w:r>
        <w:br/>
      </w:r>
      <w:hyperlink r:id="rId18">
        <w:r>
          <w:rPr>
            <w:color w:val="135B84"/>
            <w:u w:val="single"/>
          </w:rPr>
          <w:t>doi:10.1021/acschemneuro.5c00379</w:t>
        </w:r>
      </w:hyperlink>
    </w:p>
    <w:p>
      <w:pPr>
        <w:pStyle w:val="Heading1"/>
        <w:pageBreakBefore/>
      </w:pPr>
      <w:r>
        <w:t>Sources and further reading continued</w:t>
      </w:r>
    </w:p>
    <w:p>
      <w:pPr>
        <w:spacing w:after="200"/>
      </w:pPr>
      <w:r>
        <w:rPr>
          <w:sz w:val="21"/>
        </w:rPr>
        <w:t>[10] National Research Council Canada. Collaborative NRC studies advance strategies for combating Alzheimer’s. Institutional account of the collaboration and material-characterization work.</w:t>
      </w:r>
      <w:r>
        <w:br/>
      </w:r>
      <w:hyperlink r:id="rId19">
        <w:r>
          <w:rPr>
            <w:color w:val="135B84"/>
            <w:u w:val="single"/>
          </w:rPr>
          <w:t>NRC research account</w:t>
        </w:r>
      </w:hyperlink>
    </w:p>
    <w:p>
      <w:pPr>
        <w:spacing w:after="200"/>
      </w:pPr>
      <w:r>
        <w:rPr>
          <w:sz w:val="21"/>
        </w:rPr>
        <w:t>[11] Brain Canada. Significance of native PEG-PLGA nanoparticles in the treatment of Alzheimer’s disease pathology. Funded project directory; ASRP 2025–2026, start year 2026.</w:t>
      </w:r>
      <w:r>
        <w:br/>
      </w:r>
      <w:hyperlink r:id="rId20">
        <w:r>
          <w:rPr>
            <w:color w:val="135B84"/>
            <w:u w:val="single"/>
          </w:rPr>
          <w:t>Project and award details</w:t>
        </w:r>
      </w:hyperlink>
    </w:p>
    <w:p>
      <w:pPr>
        <w:spacing w:after="200"/>
      </w:pPr>
      <w:r>
        <w:rPr>
          <w:sz w:val="21"/>
        </w:rPr>
        <w:t>[12] Brain Canada. Shaping the Future of Dementia Care. Program funding acknowledgment, including Health Canada through the Canada Brain Research Fund.</w:t>
      </w:r>
      <w:r>
        <w:br/>
      </w:r>
      <w:hyperlink r:id="rId21">
        <w:r>
          <w:rPr>
            <w:color w:val="135B84"/>
            <w:u w:val="single"/>
          </w:rPr>
          <w:t>Program announcement</w:t>
        </w:r>
      </w:hyperlink>
    </w:p>
    <w:p>
      <w:pPr>
        <w:spacing w:after="200"/>
      </w:pPr>
      <w:r>
        <w:rPr>
          <w:sz w:val="21"/>
        </w:rPr>
        <w:t>[13] Sanders B, Korthauer M, Singh Parihar K, Ifergan I. Poly(lactic-co-glycolic acid) immunomodulatory nanoparticles attenuate neuroinflammation and Alzheimer’s disease-related pathology in 5xFAD mice. bioRxiv preprint, April 30, 2026. Retrieved version not peer reviewed.</w:t>
      </w:r>
      <w:r>
        <w:br/>
      </w:r>
      <w:hyperlink r:id="rId22">
        <w:r>
          <w:rPr>
            <w:color w:val="135B84"/>
            <w:u w:val="single"/>
          </w:rPr>
          <w:t>Preprint in PubMed Central</w:t>
        </w:r>
      </w:hyperlink>
    </w:p>
    <w:p>
      <w:pPr>
        <w:spacing w:after="200"/>
      </w:pPr>
      <w:r>
        <w:rPr>
          <w:sz w:val="21"/>
        </w:rPr>
        <w:t>[14] U.S. National Institute on Aging. Alzheimer’s Disease Fact Sheet; and What Happens to the Brain in Alzheimer’s Disease. Clinical stages and progressive neuronal loss.</w:t>
      </w:r>
      <w:r>
        <w:br/>
      </w:r>
      <w:hyperlink r:id="rId23">
        <w:r>
          <w:rPr>
            <w:color w:val="135B84"/>
            <w:u w:val="single"/>
          </w:rPr>
          <w:t>NIA disease fact sheet</w:t>
        </w:r>
      </w:hyperlink>
      <w:r>
        <w:t xml:space="preserve">  |  </w:t>
      </w:r>
      <w:hyperlink r:id="rId24">
        <w:r>
          <w:rPr>
            <w:color w:val="135B84"/>
            <w:u w:val="single"/>
          </w:rPr>
          <w:t>NIA brain changes</w:t>
        </w:r>
      </w:hyperlink>
    </w:p>
    <w:p>
      <w:pPr>
        <w:spacing w:after="200"/>
      </w:pPr>
      <w:r>
        <w:rPr>
          <w:sz w:val="21"/>
        </w:rPr>
        <w:t>[15] Govindarajan K and Kar S. Detection of β-amyloid aggregates/plaques in 5xFAD mice by labelled native PLGA nanoparticles: implication in the diagnosis of Alzheimer’s disease. Journal of Nanobiotechnology. 2023.</w:t>
      </w:r>
      <w:r>
        <w:br/>
      </w:r>
      <w:hyperlink r:id="rId25">
        <w:r>
          <w:rPr>
            <w:color w:val="135B84"/>
            <w:u w:val="single"/>
          </w:rPr>
          <w:t>doi:10.1186/s12951-023-01957-5</w:t>
        </w:r>
      </w:hyperlink>
    </w:p>
    <w:p>
      <w:pPr>
        <w:spacing w:after="200"/>
      </w:pPr>
      <w:r>
        <w:rPr>
          <w:sz w:val="21"/>
        </w:rPr>
        <w:t>[16] U.S. Food and Drug Administration. FDA approves treatment for adults with Alzheimer’s disease. Donanemab evidence, eligible disease stages, and safety information.</w:t>
      </w:r>
      <w:r>
        <w:br/>
      </w:r>
      <w:hyperlink r:id="rId26">
        <w:r>
          <w:rPr>
            <w:color w:val="135B84"/>
            <w:u w:val="single"/>
          </w:rPr>
          <w:t>FDA Kisunla approval information</w:t>
        </w:r>
      </w:hyperlink>
    </w:p>
    <w:p>
      <w:pPr>
        <w:spacing w:after="200"/>
      </w:pPr>
      <w:r>
        <w:rPr>
          <w:sz w:val="21"/>
        </w:rPr>
        <w:t>[17] U.S. Food and Drug Administration. FDA Converts Novel Alzheimer’s Disease Treatment to Traditional Approval. Lecanemab clinical evidence and treatment population.</w:t>
      </w:r>
      <w:r>
        <w:br/>
      </w:r>
      <w:hyperlink r:id="rId27">
        <w:r>
          <w:rPr>
            <w:color w:val="135B84"/>
            <w:u w:val="single"/>
          </w:rPr>
          <w:t>FDA Leqembi approval information</w:t>
        </w:r>
      </w:hyperlink>
    </w:p>
    <w:p>
      <w:pPr>
        <w:spacing w:after="200"/>
      </w:pPr>
      <w:r>
        <w:rPr>
          <w:sz w:val="21"/>
        </w:rPr>
        <w:t>[18] User-supplied attachment. HANAI Memory Network infographic, file dated August 28, 2025, supporting 2026 legislative policy initiatives. Used solely as Hawaiʻi service-planning context.</w:t>
      </w:r>
    </w:p>
    <w:sectPr w:rsidR="00FC693F" w:rsidRPr="0006063C" w:rsidSect="00034616">
      <w:footerReference w:type="default" r:id="rId9"/>
      <w:pgSz w:w="12240" w:h="15840"/>
      <w:pgMar w:top="979" w:right="1080" w:bottom="979" w:left="1080" w:header="389" w:footer="4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Kar Alzheimer research  |  September 2026  |  Page </w:t>
    </w:r>
    <w:r>
      <w:rPr>
        <w:sz w:val="18"/>
      </w:rPr>
      <w:fldChar w:fldCharType="begin"/>
    </w:r>
    <w:r>
      <w:rPr>
        <w:sz w:val="18"/>
      </w:rPr>
      <w:instrText>PAGE</w:instrText>
    </w:r>
    <w:r>
      <w:rPr>
        <w:sz w:val="18"/>
      </w:rPr>
      <w:fldChar w:fldCharType="end"/>
    </w:r>
    <w:r>
      <w:rPr>
        <w:sz w:val="18"/>
      </w:rPr>
      <w:t xml:space="preserve"> of </w:t>
    </w:r>
    <w:r>
      <w:rPr>
        <w:sz w:val="18"/>
      </w:rPr>
      <w:fldChar w:fldCharType="begin"/>
    </w:r>
    <w:r>
      <w:rPr>
        <w:sz w:val="18"/>
      </w:rPr>
      <w:instrText>NUMPAGES</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ualberta.ca/en/folio/2026/09/nanoparticles-show-potential-as-new-treatment-for-alzheimers.html" TargetMode="External"/><Relationship Id="rId11" Type="http://schemas.openxmlformats.org/officeDocument/2006/relationships/hyperlink" Target="https://doi.org/10.1002/alz.71348" TargetMode="External"/><Relationship Id="rId12" Type="http://schemas.openxmlformats.org/officeDocument/2006/relationships/hyperlink" Target="https://doi.org/10.1016/j.bioactmat.2022.05.030" TargetMode="External"/><Relationship Id="rId13" Type="http://schemas.openxmlformats.org/officeDocument/2006/relationships/hyperlink" Target="https://doi.org/10.1186/s12951-022-01269-0" TargetMode="External"/><Relationship Id="rId14" Type="http://schemas.openxmlformats.org/officeDocument/2006/relationships/hyperlink" Target="https://doi.org/10.1111/nan.12647" TargetMode="External"/><Relationship Id="rId15" Type="http://schemas.openxmlformats.org/officeDocument/2006/relationships/hyperlink" Target="https://www.sciencedirect.com/science/article/abs/pii/S0141813022018517" TargetMode="External"/><Relationship Id="rId16" Type="http://schemas.openxmlformats.org/officeDocument/2006/relationships/hyperlink" Target="https://doi.org/10.1038/s41598-023-50465-x" TargetMode="External"/><Relationship Id="rId17" Type="http://schemas.openxmlformats.org/officeDocument/2006/relationships/hyperlink" Target="https://doi.org/10.2147/IJN.S494104" TargetMode="External"/><Relationship Id="rId18" Type="http://schemas.openxmlformats.org/officeDocument/2006/relationships/hyperlink" Target="https://doi.org/10.1021/acschemneuro.5c00379" TargetMode="External"/><Relationship Id="rId19" Type="http://schemas.openxmlformats.org/officeDocument/2006/relationships/hyperlink" Target="https://nrc.canada.ca/en/stories/collaborative-nrc-studies-advance-strategies-combating-alzheimers" TargetMode="External"/><Relationship Id="rId20" Type="http://schemas.openxmlformats.org/officeDocument/2006/relationships/hyperlink" Target="https://braincanada.ca/funded-grants/significance-of-native-peg-plga-nanoparticles-in-the-treatment-of-alzheimer-s-disease-pathology" TargetMode="External"/><Relationship Id="rId21" Type="http://schemas.openxmlformats.org/officeDocument/2006/relationships/hyperlink" Target="https://braincanada.ca/about/news-updates/shaping-the-future-of-dementia-care" TargetMode="External"/><Relationship Id="rId22" Type="http://schemas.openxmlformats.org/officeDocument/2006/relationships/hyperlink" Target="https://pmc.ncbi.nlm.nih.gov/articles/PMC13142526/" TargetMode="External"/><Relationship Id="rId23" Type="http://schemas.openxmlformats.org/officeDocument/2006/relationships/hyperlink" Target="https://www.nia.nih.gov/health/alzheimers-and-dementia/alzheimers-disease-fact-sheet" TargetMode="External"/><Relationship Id="rId24" Type="http://schemas.openxmlformats.org/officeDocument/2006/relationships/hyperlink" Target="https://www.nia.nih.gov/health/what-happens-brain-alzheimers-disease" TargetMode="External"/><Relationship Id="rId25" Type="http://schemas.openxmlformats.org/officeDocument/2006/relationships/hyperlink" Target="https://doi.org/10.1186/s12951-023-01957-5" TargetMode="External"/><Relationship Id="rId26" Type="http://schemas.openxmlformats.org/officeDocument/2006/relationships/hyperlink" Target="https://www.fda.gov/drugs/news-events-human-drugs/fda-approves-treatment-adults-alzheimers-disease" TargetMode="External"/><Relationship Id="rId27" Type="http://schemas.openxmlformats.org/officeDocument/2006/relationships/hyperlink" Target="https://www.fda.gov/news-events/press-announcements/fda-converts-novel-alzheimers-disease-treatment-traditional-appr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Satyabrata Kar and nanoparticle research for Alzheimer disease</dc:title>
  <dc:subject>Evidence review of PLGA composition, funding, research history, and prospects by disease stage</dc:subject>
  <dc:creator/>
  <cp:keywords>Alzheimer disease, Satyabrata Kar, PLGA, PEG-PLGA, research</cp:keywords>
  <dc:description>generated by python-docx</dc:description>
  <cp:lastModifiedBy/>
  <cp:revision>1</cp:revision>
  <dcterms:created xsi:type="dcterms:W3CDTF">2013-12-23T23:15:00Z</dcterms:created>
  <dcterms:modified xsi:type="dcterms:W3CDTF">2013-12-23T23:15:00Z</dcterms:modified>
  <cp:category/>
</cp:coreProperties>
</file>